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36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36"/>
          <w:sz w:val="44"/>
          <w:szCs w:val="44"/>
        </w:rPr>
        <w:t>乌当区人民政府关于《贵阳市中心城区控制性详细规划（细则）--乌当组团北衙单元WD-06-01地块》动态维护的公示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/>
          <w:bCs/>
          <w:color w:val="2D66A5"/>
          <w:kern w:val="36"/>
          <w:sz w:val="44"/>
          <w:szCs w:val="4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依据《贵阳市城市总体规划（2011-2020年）》（2017年修订）、《贵阳市中心城区控制性详细规划（总则）——乌当组团》等上位规划，乌当区人民政府组织编制完成《贵阳市中心城区控制性详细规划（细则）--乌当组团北衙单元WD-06-01地块》动态维护方案，根据《中华人民共和国城乡规划法》、《贵阳市控制性详细规划管理办法》等相关法律法规和规章要求，现将规划方案主要内容予以公告，广泛征求社会意见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公告时间：自公告之日起10工作日。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联 系 人：岳</w:t>
      </w: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伟（0851-85829396）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2240" w:firstLineChars="7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瞿永祝（13985576187）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2240" w:firstLineChars="7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张</w:t>
      </w: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 w:val="0"/>
          <w:color w:val="333333"/>
          <w:sz w:val="32"/>
          <w:szCs w:val="32"/>
          <w:shd w:val="clear" w:color="auto" w:fill="FFFFFF"/>
        </w:rPr>
        <w:t>杰（15985148325）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2240" w:firstLineChars="7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 xml:space="preserve">传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>真：85829396（传真）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>电子邮箱：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instrText xml:space="preserve"> HYPERLINK "mailto:1325442033@qq.com" </w:instrTex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t>1325442033@qq.com</w:t>
      </w:r>
      <w:r>
        <w:rPr>
          <w:rStyle w:val="10"/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shd w:val="clear" w:color="auto" w:fill="FFFFFF"/>
        </w:rPr>
        <w:fldChar w:fldCharType="end"/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宋体" w:cs="Times New Roma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宋体" w:cs="Times New Roma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default" w:ascii="Times New Roman" w:hAnsi="Times New Roman" w:eastAsia="宋体" w:cs="Times New Roma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第一章 导则解读</w:t>
      </w:r>
    </w:p>
    <w:p>
      <w:pPr>
        <w:pStyle w:val="3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第一条 地块边界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59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12"/>
          <w:sz w:val="32"/>
          <w:szCs w:val="32"/>
        </w:rPr>
        <w:t>规划边界西至东二环、东至北衙路、北至洪济路、南至新添大道。总用地面积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28.01</w:t>
      </w:r>
      <w:r>
        <w:rPr>
          <w:rFonts w:hint="default" w:ascii="Times New Roman" w:hAnsi="Times New Roman" w:eastAsia="仿宋_GB2312" w:cs="Times New Roman"/>
          <w:spacing w:val="-10"/>
          <w:sz w:val="32"/>
          <w:szCs w:val="32"/>
        </w:rPr>
        <w:t>公</w:t>
      </w:r>
      <w:r>
        <w:rPr>
          <w:rFonts w:hint="default" w:ascii="Times New Roman" w:hAnsi="Times New Roman" w:eastAsia="仿宋_GB2312" w:cs="Times New Roman"/>
          <w:spacing w:val="-8"/>
          <w:sz w:val="32"/>
          <w:szCs w:val="32"/>
        </w:rPr>
        <w:t>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第二条 道路交通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道路体系为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4" w:firstLineChars="200"/>
        <w:textAlignment w:val="auto"/>
        <w:rPr>
          <w:rFonts w:hint="default" w:ascii="Times New Roman" w:hAnsi="Times New Roman" w:eastAsia="仿宋_GB2312" w:cs="Times New Roman"/>
          <w:spacing w:val="-4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快速路：东二环；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4" w:firstLineChars="200"/>
        <w:textAlignment w:val="auto"/>
        <w:rPr>
          <w:rFonts w:hint="default" w:ascii="Times New Roman" w:hAnsi="Times New Roman" w:eastAsia="仿宋_GB2312" w:cs="Times New Roman"/>
          <w:spacing w:val="-4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主干道：新添大道；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4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次干道：北衙路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支路：洪济路、观溪路等。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  <w:t>第三条 规划重要设施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根据北衙单元导则，地块规划重要设施如下：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2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5"/>
          <w:sz w:val="32"/>
          <w:szCs w:val="32"/>
        </w:rPr>
        <w:t>公共服务设施：乌当区青少年宫、乌当区老年活动中心、乌当电信局、新天社区医院、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农贸市场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（2</w:t>
      </w:r>
      <w:r>
        <w:rPr>
          <w:rFonts w:hint="default" w:ascii="Times New Roman" w:hAnsi="Times New Roman" w:eastAsia="仿宋_GB2312" w:cs="Times New Roman"/>
          <w:spacing w:val="-28"/>
          <w:sz w:val="32"/>
          <w:szCs w:val="32"/>
        </w:rPr>
        <w:t>个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）</w:t>
      </w:r>
      <w:r>
        <w:rPr>
          <w:rFonts w:hint="default" w:ascii="Times New Roman" w:hAnsi="Times New Roman" w:eastAsia="仿宋_GB2312" w:cs="Times New Roman"/>
          <w:spacing w:val="-3"/>
          <w:sz w:val="32"/>
          <w:szCs w:val="32"/>
        </w:rPr>
        <w:t>、幼儿园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（4</w:t>
      </w:r>
      <w:r>
        <w:rPr>
          <w:rFonts w:hint="default" w:ascii="Times New Roman" w:hAnsi="Times New Roman" w:eastAsia="仿宋_GB2312" w:cs="Times New Roman"/>
          <w:spacing w:val="-27"/>
          <w:sz w:val="32"/>
          <w:szCs w:val="32"/>
        </w:rPr>
        <w:t>个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）</w:t>
      </w:r>
      <w:r>
        <w:rPr>
          <w:rFonts w:hint="default" w:ascii="Times New Roman" w:hAnsi="Times New Roman" w:eastAsia="仿宋_GB2312" w:cs="Times New Roman"/>
          <w:spacing w:val="-5"/>
          <w:sz w:val="32"/>
          <w:szCs w:val="32"/>
        </w:rPr>
        <w:t>、小型多功能运动场地；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公用设施：公共厕所（4个）、垃圾收集点、再生资源回收点（2个）、邮政快递送达点、燃气调压站、开闭所；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交通设施：公共停车位300个。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  <w:t>第四条 空间管制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default" w:ascii="Times New Roman" w:hAnsi="Times New Roman" w:eastAsia="仿宋_GB2312" w:cs="Times New Roman"/>
          <w:spacing w:val="-4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、城市绿线规划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624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地块城市绿线包括：</w:t>
      </w:r>
    </w:p>
    <w:p>
      <w:pPr>
        <w:pStyle w:val="11"/>
        <w:keepNext w:val="0"/>
        <w:keepLines w:val="0"/>
        <w:pageBreakBefore w:val="0"/>
        <w:widowControl w:val="0"/>
        <w:numPr>
          <w:numId w:val="0"/>
        </w:numPr>
        <w:tabs>
          <w:tab w:val="left" w:pos="21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0" w:right="0" w:rightChars="0" w:firstLine="604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9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pacing w:val="-9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pacing w:val="-9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pacing w:val="-9"/>
          <w:sz w:val="32"/>
          <w:szCs w:val="32"/>
        </w:rPr>
        <w:t>东二环、东侧防护绿地：用地面积共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1.33</w:t>
      </w:r>
      <w:r>
        <w:rPr>
          <w:rFonts w:hint="default" w:ascii="Times New Roman" w:hAnsi="Times New Roman" w:eastAsia="仿宋_GB2312" w:cs="Times New Roman"/>
          <w:spacing w:val="-9"/>
          <w:sz w:val="32"/>
          <w:szCs w:val="32"/>
        </w:rPr>
        <w:t>公顷，以实线控制；</w:t>
      </w:r>
    </w:p>
    <w:p>
      <w:pPr>
        <w:pStyle w:val="11"/>
        <w:keepNext w:val="0"/>
        <w:keepLines w:val="0"/>
        <w:pageBreakBefore w:val="0"/>
        <w:widowControl w:val="0"/>
        <w:numPr>
          <w:numId w:val="0"/>
        </w:numPr>
        <w:tabs>
          <w:tab w:val="left" w:pos="21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0" w:right="0" w:rightChars="0" w:firstLine="632" w:firstLineChars="200"/>
        <w:textAlignment w:val="auto"/>
        <w:rPr>
          <w:rFonts w:hint="default" w:ascii="Times New Roman" w:hAnsi="Times New Roman" w:eastAsia="仿宋_GB2312" w:cs="Times New Roman"/>
          <w:spacing w:val="-7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</w:rPr>
        <w:t>公共绿地：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0.15</w:t>
      </w:r>
      <w:r>
        <w:rPr>
          <w:rFonts w:hint="default" w:ascii="Times New Roman" w:hAnsi="Times New Roman" w:eastAsia="仿宋_GB2312" w:cs="Times New Roman"/>
          <w:spacing w:val="-7"/>
          <w:sz w:val="32"/>
          <w:szCs w:val="32"/>
        </w:rPr>
        <w:t>公顷，以实线控制。</w:t>
      </w:r>
    </w:p>
    <w:p>
      <w:pPr>
        <w:pStyle w:val="11"/>
        <w:keepNext w:val="0"/>
        <w:keepLines w:val="0"/>
        <w:pageBreakBefore w:val="0"/>
        <w:widowControl w:val="0"/>
        <w:numPr>
          <w:numId w:val="0"/>
        </w:numPr>
        <w:tabs>
          <w:tab w:val="left" w:pos="21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、城市黄线控制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地块城市黄线包括：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608" w:firstLineChars="200"/>
        <w:textAlignment w:val="auto"/>
        <w:rPr>
          <w:rFonts w:hint="default" w:ascii="Times New Roman" w:hAnsi="Times New Roman" w:eastAsia="仿宋_GB2312" w:cs="Times New Roman"/>
          <w:spacing w:val="-1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8"/>
          <w:sz w:val="32"/>
          <w:szCs w:val="32"/>
        </w:rPr>
        <w:t>供应设施用地：电信局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0.31</w:t>
      </w:r>
      <w:r>
        <w:rPr>
          <w:rFonts w:hint="default" w:ascii="Times New Roman" w:hAnsi="Times New Roman" w:eastAsia="仿宋_GB2312" w:cs="Times New Roman"/>
          <w:spacing w:val="-10"/>
          <w:sz w:val="32"/>
          <w:szCs w:val="32"/>
        </w:rPr>
        <w:t>公顷。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仿宋_GB2312" w:cs="Times New Roman"/>
          <w:spacing w:val="-4"/>
          <w:sz w:val="32"/>
          <w:szCs w:val="32"/>
        </w:rPr>
        <w:t>、城市蓝线控制</w:t>
      </w:r>
    </w:p>
    <w:tbl>
      <w:tblPr>
        <w:tblStyle w:val="8"/>
        <w:tblpPr w:leftFromText="180" w:rightFromText="180" w:vertAnchor="text" w:horzAnchor="page" w:tblpX="5212" w:tblpY="32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805"/>
        <w:gridCol w:w="1022"/>
        <w:gridCol w:w="737"/>
        <w:gridCol w:w="791"/>
        <w:gridCol w:w="750"/>
        <w:gridCol w:w="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3" w:type="dxa"/>
            <w:gridSpan w:val="7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地块容量控制指标一览表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  <w:vMerge w:val="restart"/>
            <w:vAlign w:val="center"/>
          </w:tcPr>
          <w:p>
            <w:pPr>
              <w:pStyle w:val="12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地块编号</w:t>
            </w:r>
          </w:p>
        </w:tc>
        <w:tc>
          <w:tcPr>
            <w:tcW w:w="805" w:type="dxa"/>
            <w:vMerge w:val="restart"/>
            <w:vAlign w:val="center"/>
          </w:tcPr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总</w:t>
            </w:r>
            <w:r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  <w:t>用地</w:t>
            </w: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面积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（ha）</w:t>
            </w:r>
          </w:p>
        </w:tc>
        <w:tc>
          <w:tcPr>
            <w:tcW w:w="4131" w:type="dxa"/>
            <w:gridSpan w:val="5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规划指标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1227" w:type="dxa"/>
            <w:vMerge w:val="continue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805" w:type="dxa"/>
            <w:vMerge w:val="continue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22" w:type="dxa"/>
            <w:vAlign w:val="center"/>
          </w:tcPr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  <w:t>建设用地</w:t>
            </w:r>
          </w:p>
          <w:p>
            <w:pPr>
              <w:pStyle w:val="12"/>
              <w:spacing w:before="132"/>
              <w:ind w:left="5" w:leftChars="0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（公顷</w:t>
            </w:r>
            <w:r>
              <w:rPr>
                <w:rFonts w:hint="default" w:ascii="Times New Roman" w:hAnsi="Times New Roman" w:eastAsia="黑体" w:cs="Times New Roman"/>
                <w:b/>
                <w:spacing w:val="-17"/>
                <w:sz w:val="21"/>
                <w:szCs w:val="21"/>
              </w:rPr>
              <w:t>）</w:t>
            </w:r>
          </w:p>
        </w:tc>
        <w:tc>
          <w:tcPr>
            <w:tcW w:w="737" w:type="dxa"/>
            <w:vAlign w:val="center"/>
          </w:tcPr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  <w:t>建设容量</w:t>
            </w:r>
          </w:p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  <w:t>（万㎡）</w:t>
            </w:r>
          </w:p>
        </w:tc>
        <w:tc>
          <w:tcPr>
            <w:tcW w:w="791" w:type="dxa"/>
            <w:vAlign w:val="center"/>
          </w:tcPr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pacing w:val="-3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spacing w:val="-3"/>
                <w:sz w:val="21"/>
                <w:szCs w:val="21"/>
              </w:rPr>
              <w:t>人口规模</w:t>
            </w:r>
          </w:p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（人）</w:t>
            </w:r>
          </w:p>
        </w:tc>
        <w:tc>
          <w:tcPr>
            <w:tcW w:w="750" w:type="dxa"/>
            <w:vAlign w:val="center"/>
          </w:tcPr>
          <w:p>
            <w:pPr>
              <w:pStyle w:val="12"/>
              <w:spacing w:before="173" w:line="336" w:lineRule="auto"/>
              <w:ind w:right="93" w:rightChars="0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pacing w:val="-5"/>
                <w:sz w:val="21"/>
                <w:szCs w:val="21"/>
              </w:rPr>
              <w:t>综合容积率</w:t>
            </w:r>
          </w:p>
        </w:tc>
        <w:tc>
          <w:tcPr>
            <w:tcW w:w="831" w:type="dxa"/>
            <w:vAlign w:val="center"/>
          </w:tcPr>
          <w:p>
            <w:pPr>
              <w:pStyle w:val="12"/>
              <w:spacing w:before="173"/>
              <w:jc w:val="center"/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建筑高度</w:t>
            </w:r>
          </w:p>
          <w:p>
            <w:pPr>
              <w:pStyle w:val="12"/>
              <w:spacing w:before="132"/>
              <w:jc w:val="both"/>
              <w:rPr>
                <w:rFonts w:hint="default" w:ascii="Times New Roman" w:hAnsi="Times New Roman" w:eastAsia="黑体" w:cs="Times New Roman"/>
                <w:b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黑体" w:cs="Times New Roman"/>
                <w:b/>
                <w:sz w:val="21"/>
                <w:szCs w:val="21"/>
              </w:rPr>
              <w:t>（米）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jc w:val="both"/>
              <w:textAlignment w:val="auto"/>
              <w:rPr>
                <w:rFonts w:hint="default" w:ascii="Times New Roman" w:hAnsi="Times New Roman" w:eastAsia="黑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0"/>
              </w:rPr>
              <w:t>WD-06-01</w:t>
            </w:r>
          </w:p>
        </w:tc>
        <w:tc>
          <w:tcPr>
            <w:tcW w:w="805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28.01</w:t>
            </w:r>
          </w:p>
        </w:tc>
        <w:tc>
          <w:tcPr>
            <w:tcW w:w="1022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22.83</w:t>
            </w:r>
          </w:p>
        </w:tc>
        <w:tc>
          <w:tcPr>
            <w:tcW w:w="737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29.18</w:t>
            </w:r>
          </w:p>
        </w:tc>
        <w:tc>
          <w:tcPr>
            <w:tcW w:w="791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2551</w:t>
            </w:r>
          </w:p>
        </w:tc>
        <w:tc>
          <w:tcPr>
            <w:tcW w:w="750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1.28</w:t>
            </w:r>
          </w:p>
        </w:tc>
        <w:tc>
          <w:tcPr>
            <w:tcW w:w="831" w:type="dxa"/>
            <w:vAlign w:val="center"/>
          </w:tcPr>
          <w:p>
            <w:pPr>
              <w:pStyle w:val="12"/>
              <w:spacing w:before="1"/>
              <w:jc w:val="center"/>
              <w:rPr>
                <w:rFonts w:hint="default" w:ascii="Times New Roman" w:hAnsi="Times New Roman" w:eastAsia="黑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100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地块城市蓝线包括：松溪河蓝线宽度20米，两侧各7米保护线。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第五条 地块容量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42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802640</wp:posOffset>
            </wp:positionV>
            <wp:extent cx="2623820" cy="3241675"/>
            <wp:effectExtent l="0" t="0" r="5080" b="15875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32" cy="324154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地块用地面积28.01公顷，建设容量控制在29.18万㎡，综合容积率为1.28，规划人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bidi="ar-SA"/>
        </w:rPr>
        <mc:AlternateContent>
          <mc:Choice Requires="wps">
            <w:drawing>
              <wp:anchor distT="0" distB="0" distL="113665" distR="113665" simplePos="0" relativeHeight="251659264" behindDoc="1" locked="0" layoutInCell="1" allowOverlap="1">
                <wp:simplePos x="0" y="0"/>
                <wp:positionH relativeFrom="page">
                  <wp:posOffset>1143635</wp:posOffset>
                </wp:positionH>
                <wp:positionV relativeFrom="paragraph">
                  <wp:posOffset>364490</wp:posOffset>
                </wp:positionV>
                <wp:extent cx="67310" cy="3249295"/>
                <wp:effectExtent l="0" t="0" r="0" b="0"/>
                <wp:wrapNone/>
                <wp:docPr id="1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9" cy="32492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line="241" w:lineRule="exact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42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40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43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139" w:line="240" w:lineRule="exact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o:spid="_x0000_s1026" o:spt="1" style="position:absolute;left:0pt;margin-left:90.05pt;margin-top:28.7pt;height:255.85pt;width:5.3pt;mso-position-horizontal-relative:page;z-index:-251657216;mso-width-relative:page;mso-height-relative:page;" filled="f" stroked="f" coordsize="21600,21600" o:gfxdata="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5hKIU2QAAAAoBAAAPAAAAAAAAAAEAIAAAACIAAABkcnMvZG93bnJldi54&#10;bWxQSwECFAAUAAAACACHTuJA0f0KF/kBAAD3AwAADgAAAAAAAAABACAAAAAoAQAAZHJzL2Uyb0Rv&#10;Yy54bWxQSwUGAAAAAAYABgBZAQAAkwUAAAAA&#10;">
                <v:fill on="f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line="241" w:lineRule="exact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42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40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43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139" w:line="240" w:lineRule="exact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</w:rPr>
        <w:t>口2551人。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第二章 规划细则</w:t>
      </w:r>
    </w:p>
    <w:p>
      <w:pPr>
        <w:pStyle w:val="3"/>
        <w:keepNext w:val="0"/>
        <w:keepLines w:val="0"/>
        <w:pageBreakBefore w:val="0"/>
        <w:kinsoku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第六条 土地使用规划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00" w:firstLineChars="200"/>
        <w:textAlignment w:val="auto"/>
        <w:rPr>
          <w:rFonts w:hint="default" w:ascii="Times New Roman" w:hAnsi="Times New Roman" w:eastAsia="仿宋_GB2312" w:cs="Times New Roman"/>
          <w:b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地块总用地面积为28.01公顷，建设用地面积22.83公顷。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0"/>
          <w:szCs w:val="30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0"/>
          <w:szCs w:val="30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1293495</wp:posOffset>
            </wp:positionH>
            <wp:positionV relativeFrom="paragraph">
              <wp:posOffset>116205</wp:posOffset>
            </wp:positionV>
            <wp:extent cx="4978400" cy="5189220"/>
            <wp:effectExtent l="0" t="0" r="12700" b="11430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527" cy="51892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_GB2312" w:cs="Times New Roman"/>
          <w:b w:val="0"/>
          <w:bCs w:val="0"/>
          <w:sz w:val="30"/>
          <w:szCs w:val="30"/>
        </w:rPr>
        <w:t>第七条 开发控制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right="0" w:firstLine="600" w:firstLineChars="200"/>
        <w:jc w:val="left"/>
        <w:textAlignment w:val="auto"/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规划总建筑量29.18万平方米。其中居住建筑总量18.44万平方米（含兼容建筑及配套设施），居住人口2551人。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510"/>
        <w:gridCol w:w="1511"/>
        <w:gridCol w:w="1511"/>
        <w:gridCol w:w="1511"/>
        <w:gridCol w:w="1511"/>
        <w:gridCol w:w="1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10" w:type="dxa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地块编号</w:t>
            </w:r>
          </w:p>
        </w:tc>
        <w:tc>
          <w:tcPr>
            <w:tcW w:w="1511" w:type="dxa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right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用地面积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（公顷）</w:t>
            </w:r>
          </w:p>
        </w:tc>
        <w:tc>
          <w:tcPr>
            <w:tcW w:w="1511" w:type="dxa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建设用地面积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（公顷）</w:t>
            </w:r>
          </w:p>
        </w:tc>
        <w:tc>
          <w:tcPr>
            <w:tcW w:w="1511" w:type="dxa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right="0" w:firstLine="0" w:firstLineChars="0"/>
              <w:textAlignment w:val="auto"/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/>
                <w:spacing w:val="-6"/>
                <w:sz w:val="21"/>
                <w:szCs w:val="21"/>
              </w:rPr>
              <w:t>建筑量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/>
                <w:spacing w:val="-5"/>
                <w:sz w:val="21"/>
                <w:szCs w:val="21"/>
              </w:rPr>
              <w:t>万平方</w:t>
            </w: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米）</w:t>
            </w:r>
          </w:p>
        </w:tc>
        <w:tc>
          <w:tcPr>
            <w:tcW w:w="1511" w:type="dxa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right="0" w:firstLine="0" w:firstLineChars="0"/>
              <w:jc w:val="both"/>
              <w:textAlignment w:val="auto"/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spacing w:val="-9"/>
                <w:sz w:val="21"/>
                <w:szCs w:val="21"/>
              </w:rPr>
              <w:t>居住建筑总量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/>
                <w:spacing w:val="-5"/>
                <w:sz w:val="21"/>
                <w:szCs w:val="21"/>
              </w:rPr>
              <w:t>万平方</w:t>
            </w: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米）</w:t>
            </w:r>
          </w:p>
        </w:tc>
        <w:tc>
          <w:tcPr>
            <w:tcW w:w="1511" w:type="dxa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right="0" w:firstLine="0" w:firstLineChars="0"/>
              <w:textAlignment w:val="auto"/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居住人口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/>
                <w:sz w:val="21"/>
                <w:szCs w:val="21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510" w:type="dxa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right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WD-06-01</w:t>
            </w:r>
          </w:p>
        </w:tc>
        <w:tc>
          <w:tcPr>
            <w:tcW w:w="1511" w:type="dxa"/>
            <w:vAlign w:val="top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28.01</w:t>
            </w:r>
          </w:p>
        </w:tc>
        <w:tc>
          <w:tcPr>
            <w:tcW w:w="1511" w:type="dxa"/>
            <w:vAlign w:val="top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22.83</w:t>
            </w:r>
          </w:p>
        </w:tc>
        <w:tc>
          <w:tcPr>
            <w:tcW w:w="1511" w:type="dxa"/>
            <w:vAlign w:val="top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29.18</w:t>
            </w:r>
          </w:p>
        </w:tc>
        <w:tc>
          <w:tcPr>
            <w:tcW w:w="1511" w:type="dxa"/>
            <w:vAlign w:val="top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18.44</w:t>
            </w:r>
          </w:p>
        </w:tc>
        <w:tc>
          <w:tcPr>
            <w:tcW w:w="1511" w:type="dxa"/>
            <w:vAlign w:val="top"/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60" w:lineRule="exact"/>
              <w:ind w:left="0" w:leftChars="0" w:right="0" w:rightChars="0" w:firstLine="0" w:firstLineChars="0"/>
              <w:textAlignment w:val="auto"/>
              <w:rPr>
                <w:rFonts w:hint="default" w:ascii="Times New Roman" w:hAnsi="Times New Roman" w:eastAsia="微软雅黑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default" w:ascii="Times New Roman" w:hAnsi="Times New Roman" w:eastAsia="微软雅黑" w:cs="Times New Roman"/>
                <w:sz w:val="21"/>
                <w:szCs w:val="21"/>
              </w:rPr>
              <w:t>2551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30"/>
          <w:szCs w:val="30"/>
        </w:rPr>
      </w:pPr>
      <w:r>
        <w:rPr>
          <w:rFonts w:hint="default" w:ascii="Times New Roman" w:hAnsi="Times New Roman" w:eastAsia="楷体_GB2312" w:cs="Times New Roman"/>
          <w:b w:val="0"/>
          <w:bCs w:val="0"/>
          <w:sz w:val="30"/>
          <w:szCs w:val="30"/>
        </w:rPr>
        <w:t>第八条 地块细则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/>
        <w:textAlignment w:val="auto"/>
        <w:rPr>
          <w:rFonts w:hint="default" w:ascii="Times New Roman" w:hAnsi="Times New Roman" w:cs="Times New Roman"/>
          <w:sz w:val="11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>本次地块细则图则如下：</w:t>
      </w:r>
    </w:p>
    <w:p>
      <w:pPr>
        <w:pStyle w:val="4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525145</wp:posOffset>
            </wp:positionH>
            <wp:positionV relativeFrom="paragraph">
              <wp:posOffset>4319905</wp:posOffset>
            </wp:positionV>
            <wp:extent cx="6619240" cy="4096385"/>
            <wp:effectExtent l="0" t="0" r="0" b="0"/>
            <wp:wrapTopAndBottom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8923" cy="40965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40005</wp:posOffset>
            </wp:positionV>
            <wp:extent cx="6619240" cy="4096385"/>
            <wp:effectExtent l="0" t="0" r="0" b="0"/>
            <wp:wrapTopAndBottom/>
            <wp:docPr id="1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8924" cy="40965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10" w:h="16840"/>
      <w:pgMar w:top="2098" w:right="1474" w:bottom="1984" w:left="1587" w:header="720" w:footer="720" w:gutter="0"/>
      <w:pgNumType w:fmt="decimal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4990465</wp:posOffset>
              </wp:positionH>
              <wp:positionV relativeFrom="paragraph">
                <wp:posOffset>148590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2.95pt;margin-top:11.7pt;height:144pt;width:144pt;mso-position-horizontal-relative:margin;mso-wrap-style:none;z-index:251660288;mso-width-relative:page;mso-height-relative:page;" filled="f" stroked="f" coordsize="21600,21600" o:gfxdata="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DDk96tgAAAALAQAADwAAAAAAAAABACAAAAAiAAAAZHJzL2Rvd25yZXYueG1s&#10;UEsBAhQAFAAAAAgAh07iQF/Ipr3cAgAAJAYAAA4AAAAAAAAAAQAgAAAAJwEAAGRycy9lMm9Eb2Mu&#10;eG1sUEsFBgAAAAAGAAYAWQEAAHU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NTk1YzBiZDdmMWM0OTU4MDMyMjUxM2UwNzA1M2EifQ=="/>
  </w:docVars>
  <w:rsids>
    <w:rsidRoot w:val="4A7A30AA"/>
    <w:rsid w:val="00311A5F"/>
    <w:rsid w:val="00F44F67"/>
    <w:rsid w:val="026C4FD1"/>
    <w:rsid w:val="0AAC18AE"/>
    <w:rsid w:val="111331E7"/>
    <w:rsid w:val="138C7281"/>
    <w:rsid w:val="1E562965"/>
    <w:rsid w:val="29310257"/>
    <w:rsid w:val="2B2A1401"/>
    <w:rsid w:val="2DE37BA3"/>
    <w:rsid w:val="30D53BBD"/>
    <w:rsid w:val="315C608D"/>
    <w:rsid w:val="373F1858"/>
    <w:rsid w:val="409F7D44"/>
    <w:rsid w:val="48BD520B"/>
    <w:rsid w:val="4A7A30AA"/>
    <w:rsid w:val="4CE23C4A"/>
    <w:rsid w:val="53FA5565"/>
    <w:rsid w:val="5F864151"/>
    <w:rsid w:val="61C471B3"/>
    <w:rsid w:val="6FE3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</w:pPr>
    <w:rPr>
      <w:rFonts w:ascii="宋体" w:hAnsi="Times New Roman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qFormat/>
    <w:uiPriority w:val="0"/>
    <w:pPr>
      <w:spacing w:line="383" w:lineRule="exact"/>
      <w:ind w:left="1200"/>
      <w:outlineLvl w:val="1"/>
    </w:pPr>
    <w:rPr>
      <w:rFonts w:ascii="Microsoft JhengHei" w:hAnsi="Microsoft JhengHei" w:eastAsia="Microsoft JhengHei" w:cs="Microsoft JhengHei"/>
      <w:b/>
      <w:bCs/>
      <w:sz w:val="28"/>
      <w:szCs w:val="28"/>
    </w:rPr>
  </w:style>
  <w:style w:type="paragraph" w:styleId="3">
    <w:name w:val="heading 3"/>
    <w:basedOn w:val="1"/>
    <w:qFormat/>
    <w:uiPriority w:val="0"/>
    <w:pPr>
      <w:ind w:left="1200"/>
      <w:outlineLvl w:val="2"/>
    </w:pPr>
    <w:rPr>
      <w:rFonts w:ascii="Microsoft JhengHei" w:hAnsi="Microsoft JhengHei" w:eastAsia="Microsoft JhengHei" w:cs="Microsoft JhengHei"/>
      <w:b/>
      <w:bCs/>
      <w:sz w:val="21"/>
      <w:szCs w:val="21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sz w:val="21"/>
      <w:szCs w:val="21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0"/>
    <w:pPr>
      <w:ind w:left="1620" w:hanging="530"/>
    </w:pPr>
  </w:style>
  <w:style w:type="paragraph" w:customStyle="1" w:styleId="12">
    <w:name w:val="Table Paragraph"/>
    <w:basedOn w:val="1"/>
    <w:uiPriority w:val="0"/>
    <w:rPr>
      <w:rFonts w:asci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2023-11-15T01:30:00Z</dcterms:created>
  <dc:creator>Administrator</dc:creator>
  <cp:lastModifiedBy>Administrator</cp:lastModifiedBy>
  <dcterms:modified xsi:type="dcterms:W3CDTF">2023-11-15T02:22:06Z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42A30E20C09F4B328D25C508902EFE7E_11</vt:lpwstr>
  </property>
</Properties>
</file>