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both"/>
        <w:textAlignment w:val="baseline"/>
        <w:rPr>
          <w:rFonts w:hint="eastAsia" w:ascii="黑体" w:hAnsi="黑体" w:eastAsia="黑体" w:cs="黑体"/>
          <w:b w:val="0"/>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lang w:val="en-US" w:eastAsia="zh-CN"/>
        </w:rPr>
        <w:t>附件</w:t>
      </w:r>
    </w:p>
    <w:p>
      <w:pPr>
        <w:snapToGrid w:val="0"/>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bCs/>
          <w:i w:val="0"/>
          <w:caps w:val="0"/>
          <w:spacing w:val="0"/>
          <w:w w:val="100"/>
          <w:sz w:val="44"/>
          <w:szCs w:val="44"/>
          <w:lang w:eastAsia="zh-CN"/>
        </w:rPr>
      </w:pPr>
      <w:r>
        <w:rPr>
          <w:rFonts w:hint="eastAsia" w:ascii="方正小标宋简体" w:hAnsi="方正小标宋简体" w:eastAsia="方正小标宋简体" w:cs="方正小标宋简体"/>
          <w:b w:val="0"/>
          <w:bCs/>
          <w:i w:val="0"/>
          <w:caps w:val="0"/>
          <w:spacing w:val="0"/>
          <w:w w:val="100"/>
          <w:sz w:val="44"/>
          <w:szCs w:val="44"/>
          <w:lang w:val="en-US" w:eastAsia="zh-CN"/>
        </w:rPr>
        <w:t>推荐对象信息表</w:t>
      </w:r>
      <w:bookmarkStart w:id="0" w:name="_GoBack"/>
      <w:bookmarkEnd w:id="0"/>
    </w:p>
    <w:p>
      <w:pPr>
        <w:snapToGrid/>
        <w:spacing w:before="0" w:beforeAutospacing="0" w:after="0" w:afterAutospacing="0" w:line="100" w:lineRule="exact"/>
        <w:jc w:val="both"/>
        <w:textAlignment w:val="baseline"/>
        <w:rPr>
          <w:rFonts w:hint="eastAsia"/>
          <w:b/>
          <w:bCs/>
          <w:i w:val="0"/>
          <w:caps w:val="0"/>
          <w:spacing w:val="0"/>
          <w:w w:val="100"/>
          <w:sz w:val="18"/>
        </w:rPr>
      </w:pPr>
    </w:p>
    <w:tbl>
      <w:tblPr>
        <w:tblStyle w:val="3"/>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44"/>
        <w:gridCol w:w="2022"/>
        <w:gridCol w:w="279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368" w:type="pct"/>
            <w:vAlign w:val="center"/>
          </w:tcPr>
          <w:p>
            <w:pPr>
              <w:snapToGrid/>
              <w:spacing w:before="0" w:beforeAutospacing="0" w:after="0" w:afterAutospacing="0" w:line="240" w:lineRule="auto"/>
              <w:jc w:val="center"/>
              <w:textAlignment w:val="baseline"/>
              <w:rPr>
                <w:rFonts w:hint="eastAsia" w:ascii="黑体" w:hAnsi="黑体" w:eastAsia="黑体" w:cs="黑体"/>
                <w:b w:val="0"/>
                <w:bCs/>
                <w:i w:val="0"/>
                <w:caps w:val="0"/>
                <w:color w:val="auto"/>
                <w:spacing w:val="0"/>
                <w:w w:val="100"/>
                <w:sz w:val="24"/>
                <w:szCs w:val="24"/>
              </w:rPr>
            </w:pPr>
            <w:r>
              <w:rPr>
                <w:rFonts w:hint="eastAsia" w:ascii="黑体" w:hAnsi="黑体" w:eastAsia="黑体" w:cs="黑体"/>
                <w:b w:val="0"/>
                <w:bCs/>
                <w:i w:val="0"/>
                <w:caps w:val="0"/>
                <w:color w:val="auto"/>
                <w:spacing w:val="0"/>
                <w:w w:val="100"/>
                <w:sz w:val="24"/>
                <w:szCs w:val="24"/>
              </w:rPr>
              <w:t>序号</w:t>
            </w:r>
          </w:p>
        </w:tc>
        <w:tc>
          <w:tcPr>
            <w:tcW w:w="398" w:type="pct"/>
            <w:vAlign w:val="center"/>
          </w:tcPr>
          <w:p>
            <w:pPr>
              <w:snapToGrid/>
              <w:spacing w:before="0" w:beforeAutospacing="0" w:after="0" w:afterAutospacing="0" w:line="240" w:lineRule="auto"/>
              <w:jc w:val="center"/>
              <w:textAlignment w:val="baseline"/>
              <w:rPr>
                <w:rFonts w:hint="eastAsia" w:ascii="黑体" w:hAnsi="黑体" w:eastAsia="黑体" w:cs="黑体"/>
                <w:b w:val="0"/>
                <w:bCs/>
                <w:i w:val="0"/>
                <w:caps w:val="0"/>
                <w:color w:val="auto"/>
                <w:spacing w:val="0"/>
                <w:w w:val="100"/>
                <w:sz w:val="24"/>
                <w:szCs w:val="24"/>
                <w:lang w:eastAsia="zh-CN"/>
              </w:rPr>
            </w:pPr>
            <w:r>
              <w:rPr>
                <w:rFonts w:hint="eastAsia" w:ascii="黑体" w:hAnsi="黑体" w:eastAsia="黑体" w:cs="黑体"/>
                <w:b w:val="0"/>
                <w:bCs/>
                <w:i w:val="0"/>
                <w:caps w:val="0"/>
                <w:color w:val="auto"/>
                <w:spacing w:val="0"/>
                <w:w w:val="100"/>
                <w:sz w:val="24"/>
                <w:szCs w:val="24"/>
                <w:lang w:eastAsia="zh-CN"/>
              </w:rPr>
              <w:t>姓名</w:t>
            </w:r>
          </w:p>
        </w:tc>
        <w:tc>
          <w:tcPr>
            <w:tcW w:w="703" w:type="pct"/>
            <w:vAlign w:val="center"/>
          </w:tcPr>
          <w:p>
            <w:pPr>
              <w:snapToGrid/>
              <w:spacing w:before="0" w:beforeAutospacing="0" w:after="0" w:afterAutospacing="0" w:line="240" w:lineRule="auto"/>
              <w:jc w:val="center"/>
              <w:textAlignment w:val="baseline"/>
              <w:rPr>
                <w:rFonts w:hint="eastAsia" w:ascii="黑体" w:hAnsi="黑体" w:eastAsia="黑体" w:cs="黑体"/>
                <w:b w:val="0"/>
                <w:bCs/>
                <w:i w:val="0"/>
                <w:caps w:val="0"/>
                <w:color w:val="auto"/>
                <w:spacing w:val="0"/>
                <w:w w:val="100"/>
                <w:sz w:val="24"/>
                <w:szCs w:val="24"/>
                <w:lang w:eastAsia="zh-CN"/>
              </w:rPr>
            </w:pPr>
            <w:r>
              <w:rPr>
                <w:rFonts w:hint="eastAsia" w:ascii="黑体" w:hAnsi="黑体" w:eastAsia="黑体" w:cs="黑体"/>
                <w:b w:val="0"/>
                <w:bCs/>
                <w:i w:val="0"/>
                <w:caps w:val="0"/>
                <w:color w:val="auto"/>
                <w:spacing w:val="0"/>
                <w:w w:val="100"/>
                <w:sz w:val="24"/>
                <w:szCs w:val="24"/>
                <w:lang w:eastAsia="zh-CN"/>
              </w:rPr>
              <w:t>单位</w:t>
            </w:r>
          </w:p>
        </w:tc>
        <w:tc>
          <w:tcPr>
            <w:tcW w:w="973" w:type="pct"/>
            <w:vAlign w:val="center"/>
          </w:tcPr>
          <w:p>
            <w:pPr>
              <w:snapToGrid/>
              <w:spacing w:before="0" w:beforeAutospacing="0" w:after="0" w:afterAutospacing="0" w:line="240" w:lineRule="auto"/>
              <w:jc w:val="center"/>
              <w:textAlignment w:val="baseline"/>
              <w:rPr>
                <w:rFonts w:hint="eastAsia" w:ascii="黑体" w:hAnsi="黑体" w:eastAsia="黑体" w:cs="黑体"/>
                <w:b w:val="0"/>
                <w:bCs/>
                <w:i w:val="0"/>
                <w:caps w:val="0"/>
                <w:color w:val="auto"/>
                <w:spacing w:val="0"/>
                <w:w w:val="100"/>
                <w:sz w:val="24"/>
                <w:szCs w:val="24"/>
                <w:lang w:eastAsia="zh-CN"/>
              </w:rPr>
            </w:pPr>
            <w:r>
              <w:rPr>
                <w:rFonts w:hint="eastAsia" w:ascii="黑体" w:hAnsi="黑体" w:eastAsia="黑体" w:cs="黑体"/>
                <w:b w:val="0"/>
                <w:bCs/>
                <w:i w:val="0"/>
                <w:caps w:val="0"/>
                <w:color w:val="auto"/>
                <w:spacing w:val="0"/>
                <w:w w:val="100"/>
                <w:sz w:val="24"/>
                <w:szCs w:val="24"/>
                <w:lang w:eastAsia="zh-CN"/>
              </w:rPr>
              <w:t>学历、专业、</w:t>
            </w:r>
          </w:p>
          <w:p>
            <w:pPr>
              <w:snapToGrid/>
              <w:spacing w:before="0" w:beforeAutospacing="0" w:after="0" w:afterAutospacing="0" w:line="240" w:lineRule="auto"/>
              <w:jc w:val="center"/>
              <w:textAlignment w:val="baseline"/>
              <w:rPr>
                <w:rFonts w:hint="eastAsia" w:ascii="黑体" w:hAnsi="黑体" w:eastAsia="黑体" w:cs="黑体"/>
                <w:b w:val="0"/>
                <w:bCs/>
                <w:i w:val="0"/>
                <w:caps w:val="0"/>
                <w:color w:val="auto"/>
                <w:spacing w:val="0"/>
                <w:w w:val="100"/>
                <w:sz w:val="24"/>
                <w:szCs w:val="24"/>
                <w:lang w:val="en-US" w:eastAsia="zh-CN"/>
              </w:rPr>
            </w:pPr>
            <w:r>
              <w:rPr>
                <w:rFonts w:hint="eastAsia" w:ascii="黑体" w:hAnsi="黑体" w:eastAsia="黑体" w:cs="黑体"/>
                <w:b w:val="0"/>
                <w:bCs/>
                <w:i w:val="0"/>
                <w:caps w:val="0"/>
                <w:color w:val="auto"/>
                <w:spacing w:val="0"/>
                <w:w w:val="100"/>
                <w:sz w:val="24"/>
                <w:szCs w:val="24"/>
                <w:lang w:val="en-US" w:eastAsia="zh-CN"/>
              </w:rPr>
              <w:t>职称/职务</w:t>
            </w:r>
          </w:p>
        </w:tc>
        <w:tc>
          <w:tcPr>
            <w:tcW w:w="2555" w:type="pct"/>
            <w:vAlign w:val="center"/>
          </w:tcPr>
          <w:p>
            <w:pPr>
              <w:snapToGrid/>
              <w:spacing w:before="0" w:beforeAutospacing="0" w:after="0" w:afterAutospacing="0" w:line="240" w:lineRule="auto"/>
              <w:jc w:val="center"/>
              <w:textAlignment w:val="baseline"/>
              <w:rPr>
                <w:rFonts w:hint="eastAsia" w:ascii="黑体" w:hAnsi="黑体" w:eastAsia="黑体" w:cs="黑体"/>
                <w:b w:val="0"/>
                <w:bCs/>
                <w:i w:val="0"/>
                <w:caps w:val="0"/>
                <w:color w:val="auto"/>
                <w:spacing w:val="0"/>
                <w:w w:val="100"/>
                <w:sz w:val="24"/>
                <w:szCs w:val="24"/>
                <w:lang w:eastAsia="zh-CN"/>
              </w:rPr>
            </w:pPr>
            <w:r>
              <w:rPr>
                <w:rFonts w:hint="eastAsia" w:ascii="黑体" w:hAnsi="黑体" w:eastAsia="黑体" w:cs="黑体"/>
                <w:b w:val="0"/>
                <w:bCs/>
                <w:i w:val="0"/>
                <w:caps w:val="0"/>
                <w:color w:val="auto"/>
                <w:spacing w:val="0"/>
                <w:w w:val="100"/>
                <w:sz w:val="24"/>
                <w:szCs w:val="24"/>
                <w:lang w:eastAsia="zh-CN"/>
              </w:rPr>
              <w:t>主要业绩成果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8" w:hRule="exact"/>
          <w:jc w:val="center"/>
        </w:trPr>
        <w:tc>
          <w:tcPr>
            <w:tcW w:w="368"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1</w:t>
            </w:r>
          </w:p>
        </w:tc>
        <w:tc>
          <w:tcPr>
            <w:tcW w:w="398"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陈飞</w:t>
            </w:r>
          </w:p>
        </w:tc>
        <w:tc>
          <w:tcPr>
            <w:tcW w:w="703"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贵州省水利科学研究院</w:t>
            </w:r>
          </w:p>
        </w:tc>
        <w:tc>
          <w:tcPr>
            <w:tcW w:w="973"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博士研究生（贵州大学）、地球化学、中级</w:t>
            </w:r>
          </w:p>
        </w:tc>
        <w:tc>
          <w:tcPr>
            <w:tcW w:w="25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2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从事喀斯特生态环境恢复与重建研究相关工作。参加省部级以上 3 项，其中，国家自然科学基金委面上项目 1 项。在国内外重要学术期刊发表论文 40 余篇（含合作发表论文），其中 SCI 论文 20 余篇，中文核心 10 余篇，以第一作者在国内外重要学术期刊发表学术论文6篇，其中，SCI/EI论文3篇（其中1篇为全球ESI 1%高被引论文），中文一级学报2篇（其中1篇获得当年度期刊优秀论文），合作出版科学出版社专著2部。从硕士期间开始从事喀斯特地区生态环境治理与修复相关的研究，曾参与“973”计划专题“基于水-岩-土-气-生相互作用的喀斯特地区碳循环模式及调控机理”的部分进展与结题事宜，以及中国科学院“美丽中国”战略先导计划“基于地质背景-资源禀赋的石漠化健康诊断与美丽喀斯特建设及科学管理方略”，参加过国家重点研发计划“喀斯特槽谷区土地石漠化过程及综合治理技术研发与示范”，以及贵州省社会发展科技攻关项目“典型石漠化小流域生态治理固碳潜力及其增汇技术的试验示范”等与项目紧密相关的项目。在此过程中累积了关于喀斯特地区岩溶风化无机碳汇、土壤有机碳储量、生态系统有机碳碳汇相关的技术方法和工作经验，为项目在理论基础、数据收集、技术方法方面积累了丰富经验，为项目顺利开展提供了借鉴和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1" w:hRule="exact"/>
          <w:jc w:val="center"/>
        </w:trPr>
        <w:tc>
          <w:tcPr>
            <w:tcW w:w="368"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2</w:t>
            </w:r>
          </w:p>
        </w:tc>
        <w:tc>
          <w:tcPr>
            <w:tcW w:w="398"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慎东方</w:t>
            </w:r>
          </w:p>
        </w:tc>
        <w:tc>
          <w:tcPr>
            <w:tcW w:w="703"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贵州省水利科学研究院</w:t>
            </w:r>
          </w:p>
        </w:tc>
        <w:tc>
          <w:tcPr>
            <w:tcW w:w="973" w:type="pct"/>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硕士研究生（华北水利水电大学）、农业水土工程、水资源保护与促进所副所长/副高</w:t>
            </w:r>
          </w:p>
        </w:tc>
        <w:tc>
          <w:tcPr>
            <w:tcW w:w="25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先后主持和参与完成《变化环境下贵州旱灾形成机理及管理信息系统》《贵州烟草旱涝急转响应机理与减灾对策研究》《贵州省黔中水利枢纽一期工程生态补偿机制研究》《贵州蓝莓灌溉制度研究》《贵州五种主要农作物高效节水灌溉制度研究》等多项省部级、地厅级课题研究工作，研究成果对贵州水利事业发展发挥了重要积极作用。主持和参与完成《贵州省第一批省级水生态文明建设试点技术评估报告》《贵州省城市用水户水价承受能力分析研究报告》《贵阳市节水行动实施方案》《贵州省第一批省级节水型社会创建重点县技术评估报告》《贵州省行业用水定额-农业灌溉用水定额分册》《DB52T 725-2019用水定额》《贵州省防汛抗旱工作评价》等20余项水利项目。先后获得“贵州水利科学技术奖”两次；获得《植物根系加通气砂包渗灌系统》《扩孔增压式组合滴管》等发明专利4项；获得《一种河道垃圾清理装置》《一种加固型防水防渗护坡》等实用新型专利9项；发表《基于SPEI的贵州省近60年干旱时空规律分析》等核心论文10余篇；在国家级出版社出版专著《贵州烟草旱涝急转响应机理与减灾对策》等4部；发布实施地方性标准和行业标准8项。先后入选省农业农村厅“贵州省高标准农田建设培训师资库专家名单”、省水利厅“水利工程标准化管理评价专家名单”、省环保厅“贵州省生态环境标准化技术委员会专家名单”。参加省水利厅、省总工会、省人力资源和社会保障厅举办的2023年贵州技能大赛获得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exact"/>
          <w:jc w:val="center"/>
        </w:trPr>
        <w:tc>
          <w:tcPr>
            <w:tcW w:w="368" w:type="pct"/>
            <w:vAlign w:val="center"/>
          </w:tcPr>
          <w:p>
            <w:pPr>
              <w:adjustRightInd w:val="0"/>
              <w:snapToGrid w:val="0"/>
              <w:jc w:val="center"/>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color w:val="auto"/>
                <w:sz w:val="28"/>
                <w:szCs w:val="28"/>
                <w:shd w:val="clear" w:color="auto" w:fill="FFFFFF"/>
                <w:lang w:val="en-US" w:eastAsia="zh-CN"/>
              </w:rPr>
              <w:t>3</w:t>
            </w:r>
          </w:p>
        </w:tc>
        <w:tc>
          <w:tcPr>
            <w:tcW w:w="398" w:type="pct"/>
            <w:vAlign w:val="center"/>
          </w:tcPr>
          <w:p>
            <w:pPr>
              <w:adjustRightInd w:val="0"/>
              <w:snapToGrid w:val="0"/>
              <w:jc w:val="center"/>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color w:val="auto"/>
                <w:sz w:val="28"/>
                <w:szCs w:val="28"/>
              </w:rPr>
              <w:t>王茂洋</w:t>
            </w:r>
          </w:p>
        </w:tc>
        <w:tc>
          <w:tcPr>
            <w:tcW w:w="703" w:type="pct"/>
            <w:vAlign w:val="center"/>
          </w:tcPr>
          <w:p>
            <w:pPr>
              <w:adjustRightInd w:val="0"/>
              <w:snapToGrid w:val="0"/>
              <w:jc w:val="center"/>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color w:val="auto"/>
                <w:sz w:val="28"/>
                <w:szCs w:val="28"/>
                <w:shd w:val="clear" w:color="auto" w:fill="FFFFFF"/>
              </w:rPr>
              <w:t>贵州省水利水电勘测设计研究院有限公司</w:t>
            </w:r>
          </w:p>
        </w:tc>
        <w:tc>
          <w:tcPr>
            <w:tcW w:w="973" w:type="pct"/>
            <w:vAlign w:val="center"/>
          </w:tcPr>
          <w:p>
            <w:pPr>
              <w:adjustRightInd w:val="0"/>
              <w:snapToGrid w:val="0"/>
              <w:jc w:val="center"/>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硕士</w:t>
            </w:r>
            <w:r>
              <w:rPr>
                <w:rFonts w:hint="eastAsia" w:ascii="仿宋_GB2312" w:hAnsi="仿宋_GB2312" w:eastAsia="仿宋_GB2312" w:cs="仿宋_GB2312"/>
                <w:color w:val="auto"/>
                <w:sz w:val="28"/>
                <w:szCs w:val="28"/>
                <w:shd w:val="clear" w:color="auto" w:fill="FFFFFF"/>
              </w:rPr>
              <w:t>研究生（</w:t>
            </w:r>
            <w:r>
              <w:rPr>
                <w:rFonts w:hint="eastAsia" w:ascii="仿宋_GB2312" w:hAnsi="仿宋_GB2312" w:eastAsia="仿宋_GB2312" w:cs="仿宋_GB2312"/>
                <w:color w:val="auto"/>
                <w:sz w:val="28"/>
                <w:szCs w:val="28"/>
                <w:shd w:val="clear" w:color="auto" w:fill="FFFFFF"/>
                <w:lang w:val="en-US" w:eastAsia="zh-CN"/>
              </w:rPr>
              <w:t>贵州师范</w:t>
            </w:r>
            <w:r>
              <w:rPr>
                <w:rFonts w:hint="eastAsia" w:ascii="仿宋_GB2312" w:hAnsi="仿宋_GB2312" w:eastAsia="仿宋_GB2312" w:cs="仿宋_GB2312"/>
                <w:color w:val="auto"/>
                <w:sz w:val="28"/>
                <w:szCs w:val="28"/>
                <w:shd w:val="clear" w:color="auto" w:fill="FFFFFF"/>
              </w:rPr>
              <w:t>大学）、</w:t>
            </w:r>
            <w:r>
              <w:rPr>
                <w:rFonts w:hint="eastAsia" w:ascii="仿宋_GB2312" w:hAnsi="仿宋_GB2312" w:eastAsia="仿宋_GB2312" w:cs="仿宋_GB2312"/>
                <w:color w:val="auto"/>
                <w:sz w:val="28"/>
                <w:szCs w:val="28"/>
                <w:shd w:val="clear" w:color="auto" w:fill="FFFFFF"/>
                <w:lang w:val="en-US" w:eastAsia="zh-CN"/>
              </w:rPr>
              <w:t>地图学与地理信息系统</w:t>
            </w: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lang w:val="en-US" w:eastAsia="zh-CN"/>
              </w:rPr>
              <w:t>分院院长、贵州师范</w:t>
            </w:r>
            <w:r>
              <w:rPr>
                <w:rFonts w:hint="eastAsia" w:ascii="仿宋_GB2312" w:hAnsi="仿宋_GB2312" w:eastAsia="仿宋_GB2312" w:cs="仿宋_GB2312"/>
                <w:color w:val="auto"/>
                <w:sz w:val="28"/>
                <w:szCs w:val="28"/>
                <w:shd w:val="clear" w:color="auto" w:fill="FFFFFF"/>
              </w:rPr>
              <w:t>大学</w:t>
            </w:r>
            <w:r>
              <w:rPr>
                <w:rFonts w:hint="eastAsia" w:ascii="仿宋_GB2312" w:hAnsi="仿宋_GB2312" w:eastAsia="仿宋_GB2312" w:cs="仿宋_GB2312"/>
                <w:color w:val="auto"/>
                <w:sz w:val="28"/>
                <w:szCs w:val="28"/>
                <w:shd w:val="clear" w:color="auto" w:fill="FFFFFF"/>
                <w:lang w:val="en-US" w:eastAsia="zh-CN"/>
              </w:rPr>
              <w:t>土木水利类别硕士研究生导师/副</w:t>
            </w:r>
            <w:r>
              <w:rPr>
                <w:rFonts w:hint="eastAsia" w:ascii="仿宋_GB2312" w:hAnsi="仿宋_GB2312" w:eastAsia="仿宋_GB2312" w:cs="仿宋_GB2312"/>
                <w:color w:val="auto"/>
                <w:sz w:val="28"/>
                <w:szCs w:val="28"/>
                <w:shd w:val="clear" w:color="auto" w:fill="FFFFFF"/>
              </w:rPr>
              <w:t>高</w:t>
            </w:r>
          </w:p>
          <w:p>
            <w:pPr>
              <w:adjustRightInd w:val="0"/>
              <w:snapToGrid w:val="0"/>
              <w:jc w:val="center"/>
              <w:rPr>
                <w:rFonts w:hint="eastAsia" w:ascii="仿宋_GB2312" w:hAnsi="仿宋_GB2312" w:eastAsia="仿宋_GB2312" w:cs="仿宋_GB2312"/>
                <w:color w:val="auto"/>
                <w:sz w:val="28"/>
                <w:szCs w:val="28"/>
                <w:shd w:val="clear" w:color="auto" w:fill="FFFFFF"/>
                <w:lang w:val="en-US" w:eastAsia="zh-CN"/>
              </w:rPr>
            </w:pPr>
          </w:p>
          <w:p>
            <w:pPr>
              <w:adjustRightInd w:val="0"/>
              <w:snapToGrid w:val="0"/>
              <w:jc w:val="center"/>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sz w:val="28"/>
                <w:szCs w:val="28"/>
                <w:shd w:val="clear" w:color="auto" w:fill="FFFFFF"/>
                <w:lang w:val="en-US" w:eastAsia="zh-CN"/>
              </w:rPr>
              <w:t>博士研究生在读（中南大学）</w:t>
            </w:r>
          </w:p>
        </w:tc>
        <w:tc>
          <w:tcPr>
            <w:tcW w:w="2555" w:type="pct"/>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参与贵州省重大专项2项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贵州省科技支撑项目1项（主要完成人）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持参与贵州省水利科技项目6项（主要完成人）；贵州省地方标准建设3项（主要完成人)，水利部“先进实用”推广目录2项；获得软件著作权6项（独立2项，参与4项），参与获得专利2项，实用新型1项。获国内领先技术鉴定3项；全国优秀工程勘察设计行业奖一等奖1项；全国优秀水利水电工程勘测设计奖工程勘测类金奖1项；贵州省优秀测绘工程一等奖1项；贵州省测绘地理信息科技进步奖一等奖2项；省水利科技奖一等奖1项、二等奖1项等多个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exact"/>
          <w:jc w:val="center"/>
        </w:trPr>
        <w:tc>
          <w:tcPr>
            <w:tcW w:w="368" w:type="pct"/>
            <w:vAlign w:val="center"/>
          </w:tcPr>
          <w:p>
            <w:pPr>
              <w:adjustRightInd w:val="0"/>
              <w:snapToGrid w:val="0"/>
              <w:jc w:val="center"/>
              <w:rPr>
                <w:rFonts w:hint="eastAsia" w:ascii="仿宋_GB2312" w:hAnsi="仿宋_GB2312" w:eastAsia="仿宋_GB2312" w:cs="仿宋_GB2312"/>
                <w:b w:val="0"/>
                <w:i w:val="0"/>
                <w:caps w:val="0"/>
                <w:color w:val="auto"/>
                <w:spacing w:val="0"/>
                <w:w w:val="100"/>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4</w:t>
            </w:r>
          </w:p>
        </w:tc>
        <w:tc>
          <w:tcPr>
            <w:tcW w:w="398" w:type="pct"/>
            <w:vAlign w:val="center"/>
          </w:tcPr>
          <w:p>
            <w:pPr>
              <w:adjustRightInd w:val="0"/>
              <w:snapToGrid w:val="0"/>
              <w:jc w:val="center"/>
              <w:rPr>
                <w:rFonts w:hint="eastAsia" w:ascii="仿宋_GB2312" w:hAnsi="仿宋_GB2312" w:eastAsia="仿宋_GB2312" w:cs="仿宋_GB2312"/>
                <w:b w:val="0"/>
                <w:i w:val="0"/>
                <w:caps w:val="0"/>
                <w:color w:val="auto"/>
                <w:spacing w:val="0"/>
                <w:w w:val="100"/>
                <w:sz w:val="28"/>
                <w:szCs w:val="28"/>
                <w:shd w:val="clear" w:color="auto" w:fill="FFFFFF"/>
              </w:rPr>
            </w:pPr>
            <w:r>
              <w:rPr>
                <w:rFonts w:hint="eastAsia" w:ascii="仿宋_GB2312" w:hAnsi="仿宋_GB2312" w:eastAsia="仿宋_GB2312" w:cs="仿宋_GB2312"/>
                <w:color w:val="auto"/>
                <w:sz w:val="28"/>
                <w:szCs w:val="28"/>
              </w:rPr>
              <w:t>王鹏</w:t>
            </w:r>
          </w:p>
        </w:tc>
        <w:tc>
          <w:tcPr>
            <w:tcW w:w="703" w:type="pct"/>
            <w:vAlign w:val="center"/>
          </w:tcPr>
          <w:p>
            <w:pPr>
              <w:adjustRightInd w:val="0"/>
              <w:snapToGrid w:val="0"/>
              <w:jc w:val="center"/>
              <w:rPr>
                <w:rFonts w:hint="eastAsia" w:ascii="仿宋_GB2312" w:hAnsi="仿宋_GB2312" w:eastAsia="仿宋_GB2312" w:cs="仿宋_GB2312"/>
                <w:b w:val="0"/>
                <w:i w:val="0"/>
                <w:caps w:val="0"/>
                <w:color w:val="auto"/>
                <w:spacing w:val="0"/>
                <w:w w:val="100"/>
                <w:sz w:val="28"/>
                <w:szCs w:val="28"/>
                <w:shd w:val="clear" w:color="auto" w:fill="FFFFFF"/>
              </w:rPr>
            </w:pPr>
            <w:r>
              <w:rPr>
                <w:rFonts w:hint="eastAsia" w:ascii="仿宋_GB2312" w:hAnsi="仿宋_GB2312" w:eastAsia="仿宋_GB2312" w:cs="仿宋_GB2312"/>
                <w:color w:val="auto"/>
                <w:sz w:val="28"/>
                <w:szCs w:val="28"/>
              </w:rPr>
              <w:t>贵州省水利科学研究院</w:t>
            </w:r>
          </w:p>
        </w:tc>
        <w:tc>
          <w:tcPr>
            <w:tcW w:w="973" w:type="pct"/>
            <w:vAlign w:val="center"/>
          </w:tcPr>
          <w:p>
            <w:pPr>
              <w:adjustRightInd w:val="0"/>
              <w:snapToGrid w:val="0"/>
              <w:jc w:val="center"/>
              <w:rPr>
                <w:rFonts w:hint="eastAsia" w:ascii="仿宋_GB2312" w:hAnsi="仿宋_GB2312" w:eastAsia="仿宋_GB2312" w:cs="仿宋_GB2312"/>
                <w:b w:val="0"/>
                <w:i w:val="0"/>
                <w:caps w:val="0"/>
                <w:color w:val="auto"/>
                <w:spacing w:val="0"/>
                <w:w w:val="100"/>
                <w:sz w:val="28"/>
                <w:szCs w:val="28"/>
                <w:shd w:val="clear" w:color="auto" w:fill="FFFFFF"/>
              </w:rPr>
            </w:pPr>
            <w:r>
              <w:rPr>
                <w:rFonts w:hint="eastAsia" w:ascii="仿宋_GB2312" w:hAnsi="仿宋_GB2312" w:eastAsia="仿宋_GB2312" w:cs="仿宋_GB2312"/>
                <w:color w:val="auto"/>
                <w:sz w:val="28"/>
                <w:szCs w:val="28"/>
                <w:shd w:val="clear" w:color="auto" w:fill="FFFFFF"/>
              </w:rPr>
              <w:t>硕士研究生（</w:t>
            </w:r>
            <w:r>
              <w:rPr>
                <w:rFonts w:hint="eastAsia" w:ascii="仿宋_GB2312" w:hAnsi="仿宋_GB2312" w:eastAsia="仿宋_GB2312" w:cs="仿宋_GB2312"/>
                <w:color w:val="auto"/>
                <w:sz w:val="28"/>
                <w:szCs w:val="28"/>
              </w:rPr>
              <w:t>贵州大学</w:t>
            </w: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lang w:val="en-US" w:eastAsia="zh-CN"/>
              </w:rPr>
              <w:t>水文与水资源工程</w:t>
            </w:r>
            <w:r>
              <w:rPr>
                <w:rFonts w:hint="eastAsia" w:ascii="仿宋_GB2312" w:hAnsi="仿宋_GB2312" w:eastAsia="仿宋_GB2312" w:cs="仿宋_GB2312"/>
                <w:color w:val="auto"/>
                <w:sz w:val="28"/>
                <w:szCs w:val="28"/>
                <w:shd w:val="clear" w:color="auto" w:fill="FFFFFF"/>
              </w:rPr>
              <w:t>、</w:t>
            </w:r>
            <w:r>
              <w:rPr>
                <w:rFonts w:hint="eastAsia" w:ascii="仿宋_GB2312" w:hAnsi="仿宋_GB2312" w:eastAsia="仿宋_GB2312" w:cs="仿宋_GB2312"/>
                <w:color w:val="auto"/>
                <w:sz w:val="28"/>
                <w:szCs w:val="28"/>
                <w:shd w:val="clear" w:color="auto" w:fill="FFFFFF"/>
                <w:lang w:val="en-US" w:eastAsia="zh-CN"/>
              </w:rPr>
              <w:t>副</w:t>
            </w:r>
            <w:r>
              <w:rPr>
                <w:rFonts w:hint="eastAsia" w:ascii="仿宋_GB2312" w:hAnsi="仿宋_GB2312" w:eastAsia="仿宋_GB2312" w:cs="仿宋_GB2312"/>
                <w:color w:val="auto"/>
                <w:sz w:val="28"/>
                <w:szCs w:val="28"/>
                <w:shd w:val="clear" w:color="auto" w:fill="FFFFFF"/>
              </w:rPr>
              <w:t>高</w:t>
            </w:r>
          </w:p>
        </w:tc>
        <w:tc>
          <w:tcPr>
            <w:tcW w:w="2555"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b w:val="0"/>
                <w:i w:val="0"/>
                <w:caps w:val="0"/>
                <w:color w:val="auto"/>
                <w:spacing w:val="0"/>
                <w:w w:val="100"/>
                <w:sz w:val="28"/>
                <w:szCs w:val="28"/>
                <w:shd w:val="clear" w:color="auto" w:fill="FFFFFF"/>
                <w:lang w:eastAsia="zh-CN"/>
              </w:rPr>
            </w:pPr>
            <w:r>
              <w:rPr>
                <w:rFonts w:hint="eastAsia" w:ascii="仿宋_GB2312" w:hAnsi="仿宋_GB2312" w:eastAsia="仿宋_GB2312" w:cs="仿宋_GB2312"/>
                <w:color w:val="auto"/>
                <w:sz w:val="28"/>
                <w:szCs w:val="28"/>
              </w:rPr>
              <w:t>作为项目（技术）负责人主持完成省（部）级项目2项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大型项目3项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中型项目2项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其它小型项目多项。参与贵州省“实行最严格水资源管理”制度考核，贵州省河（湖）长制 “一市一考”、“一河一考”,贵州省水十条等考核工作。草拟省水利厅应对重大突发水污染事件工作办法，参与省级层面的建制镇赤水河流域生活污水治理暗访、违建别墅督察、农村饮水安全督导、环保督察等工作。曾获省水利厅 “优秀党员”、“党员榜样”及南明区抗疫“优秀志愿者”荣誉称号。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6" w:hRule="exact"/>
          <w:jc w:val="center"/>
        </w:trPr>
        <w:tc>
          <w:tcPr>
            <w:tcW w:w="368"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sz w:val="28"/>
                <w:szCs w:val="28"/>
                <w:shd w:val="clear" w:color="auto" w:fill="FFFFFF"/>
                <w:lang w:val="en-US" w:eastAsia="zh-CN"/>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5</w:t>
            </w:r>
          </w:p>
        </w:tc>
        <w:tc>
          <w:tcPr>
            <w:tcW w:w="398"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何伟</w:t>
            </w:r>
          </w:p>
        </w:tc>
        <w:tc>
          <w:tcPr>
            <w:tcW w:w="703"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color w:val="auto"/>
                <w:sz w:val="28"/>
                <w:szCs w:val="28"/>
                <w:shd w:val="clear" w:color="auto" w:fill="FFFFFF"/>
              </w:rPr>
              <w:t>贵州省水利水电勘测设计研究院有限公司</w:t>
            </w:r>
          </w:p>
        </w:tc>
        <w:tc>
          <w:tcPr>
            <w:tcW w:w="973" w:type="pc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auto"/>
                <w:spacing w:val="0"/>
                <w:w w:val="10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本科（长春工程学院）、材料成型及控制工程、副高</w:t>
            </w:r>
          </w:p>
        </w:tc>
        <w:tc>
          <w:tcPr>
            <w:tcW w:w="255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leftChars="0"/>
              <w:jc w:val="both"/>
              <w:textAlignment w:val="baseline"/>
              <w:rPr>
                <w:rFonts w:hint="eastAsia" w:ascii="仿宋_GB2312" w:hAnsi="仿宋_GB2312" w:eastAsia="仿宋_GB2312" w:cs="仿宋_GB2312"/>
                <w:b w:val="0"/>
                <w:i w:val="0"/>
                <w:caps w:val="0"/>
                <w:color w:val="auto"/>
                <w:spacing w:val="0"/>
                <w:w w:val="100"/>
                <w:sz w:val="28"/>
                <w:szCs w:val="28"/>
                <w:shd w:val="clear" w:color="auto" w:fill="FFFFFF"/>
                <w:lang w:val="en-US" w:eastAsia="zh-CN"/>
              </w:rPr>
            </w:pPr>
            <w:r>
              <w:rPr>
                <w:rFonts w:hint="eastAsia" w:ascii="仿宋_GB2312" w:hAnsi="仿宋_GB2312" w:eastAsia="仿宋_GB2312" w:cs="仿宋_GB2312"/>
                <w:b w:val="0"/>
                <w:i w:val="0"/>
                <w:caps w:val="0"/>
                <w:color w:val="auto"/>
                <w:spacing w:val="0"/>
                <w:w w:val="100"/>
                <w:sz w:val="28"/>
                <w:szCs w:val="28"/>
                <w:shd w:val="clear" w:color="auto" w:fill="FFFFFF"/>
                <w:lang w:val="en-US" w:eastAsia="zh-CN"/>
              </w:rPr>
              <w:t>作为项目技术负责人完成《风光互补自供电智能测控系统在输水工程中的应用研究》课题，发表论文1篇，获得2项实用新型专利，受理发明专利2项。首次在国内外采用该系统对大型水利枢纽项目整个输水工程区闸门启闭机及电动阀门等大功率用电设备供电和控制，走出一条低碳环保、生态循环的清洁供电新路子，目前在夹岩和观音等大型水库工程中推广应用。申报水利部国际合作与科技司2022年水利科技成果公报，成果已入选，将在今年10月底公布。另外，以主编身份申报贵州省水利工程协会《输水工程金属结构设备风光互补供电系统技术》团体标准并获立项，正在开展相关工作。完成了科技厅重大科技专项—夹岩水利枢纽及黔西北供水工程关键技术研究与应用课题5《鱼类保护和水库生态调度关键技术研究》相关研究工作，发表2篇论文，获得3项发明专利和8项实用新型专利。该系统设计新颖，在国内属于首创，其技术创新给黄家湾和观音等大型综合性水利工程及其他同类型项目提供重要的借鉴作用。目前在相关领域获得3项发明专利和23项实用新型专利，负责的团体标准1项，编写专业技术类书籍1部，发表的相关专业期刊论文12篇。</w:t>
            </w:r>
          </w:p>
        </w:tc>
      </w:tr>
    </w:tbl>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333333"/>
          <w:spacing w:val="0"/>
          <w:w w:val="100"/>
          <w:sz w:val="28"/>
          <w:szCs w:val="28"/>
          <w:shd w:val="clear" w:color="auto" w:fill="FFFFFF"/>
        </w:rPr>
      </w:pPr>
    </w:p>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color w:val="333333"/>
          <w:spacing w:val="0"/>
          <w:w w:val="100"/>
          <w:sz w:val="24"/>
          <w:szCs w:val="24"/>
          <w:shd w:val="clear" w:color="auto" w:fill="FFFFFF"/>
        </w:rPr>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BlMzgzOGJkMTE5MWYxMTkwMzBkODE3ZTM3NmQifQ=="/>
  </w:docVars>
  <w:rsids>
    <w:rsidRoot w:val="00000000"/>
    <w:rsid w:val="012932B9"/>
    <w:rsid w:val="02893952"/>
    <w:rsid w:val="031C12E8"/>
    <w:rsid w:val="04E43544"/>
    <w:rsid w:val="05B11678"/>
    <w:rsid w:val="0A90206F"/>
    <w:rsid w:val="0F470958"/>
    <w:rsid w:val="100131FC"/>
    <w:rsid w:val="109B7077"/>
    <w:rsid w:val="1A402B73"/>
    <w:rsid w:val="1B4F4052"/>
    <w:rsid w:val="1B89359A"/>
    <w:rsid w:val="1CE644DA"/>
    <w:rsid w:val="1D3C3AC6"/>
    <w:rsid w:val="220628F4"/>
    <w:rsid w:val="265C5F95"/>
    <w:rsid w:val="2788572B"/>
    <w:rsid w:val="2C6E17C2"/>
    <w:rsid w:val="2E6013E3"/>
    <w:rsid w:val="307D1FD3"/>
    <w:rsid w:val="37432297"/>
    <w:rsid w:val="3749169A"/>
    <w:rsid w:val="45E2530E"/>
    <w:rsid w:val="467C21FC"/>
    <w:rsid w:val="472745EF"/>
    <w:rsid w:val="47B9791B"/>
    <w:rsid w:val="48E53003"/>
    <w:rsid w:val="4A181031"/>
    <w:rsid w:val="4AE00B14"/>
    <w:rsid w:val="4C3642FF"/>
    <w:rsid w:val="4C8F2A46"/>
    <w:rsid w:val="4EBB397F"/>
    <w:rsid w:val="513F489B"/>
    <w:rsid w:val="52AB5855"/>
    <w:rsid w:val="530028C4"/>
    <w:rsid w:val="557B4484"/>
    <w:rsid w:val="5811668F"/>
    <w:rsid w:val="59670E9A"/>
    <w:rsid w:val="59FE3CC9"/>
    <w:rsid w:val="5C73610B"/>
    <w:rsid w:val="63F43D7F"/>
    <w:rsid w:val="6477675E"/>
    <w:rsid w:val="69961435"/>
    <w:rsid w:val="6D617FAC"/>
    <w:rsid w:val="6DC42A14"/>
    <w:rsid w:val="6F71329B"/>
    <w:rsid w:val="70B84386"/>
    <w:rsid w:val="713C6D66"/>
    <w:rsid w:val="71E70136"/>
    <w:rsid w:val="721D26F3"/>
    <w:rsid w:val="73CF086D"/>
    <w:rsid w:val="7453627E"/>
    <w:rsid w:val="74982505"/>
    <w:rsid w:val="78EE6B97"/>
    <w:rsid w:val="7A1B260A"/>
    <w:rsid w:val="7B705F89"/>
    <w:rsid w:val="7F41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714</Words>
  <Characters>730</Characters>
  <Paragraphs>41</Paragraphs>
  <TotalTime>0</TotalTime>
  <ScaleCrop>false</ScaleCrop>
  <LinksUpToDate>false</LinksUpToDate>
  <CharactersWithSpaces>737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2022-10-26T08:57:00Z</dcterms:created>
  <dc:creator>admin</dc:creator>
  <cp:lastModifiedBy>音</cp:lastModifiedBy>
  <dcterms:modified xsi:type="dcterms:W3CDTF">2023-09-25T09:34:43Z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56a0cddeb5bf4a55bd7e3af937666faf</vt:lpwstr>
  </property>
</Properties>
</file>