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黑体" w:hAnsi="黑体" w:eastAsia="黑体"/>
          <w:color w:val="000000" w:themeColor="text1"/>
          <w:sz w:val="32"/>
          <w:szCs w:val="32"/>
        </w:rPr>
      </w:pPr>
      <w:r>
        <w:rPr>
          <w:rFonts w:hint="eastAsia" w:ascii="黑体" w:hAnsi="黑体" w:eastAsia="黑体"/>
          <w:color w:val="000000" w:themeColor="text1"/>
          <w:sz w:val="32"/>
          <w:szCs w:val="32"/>
        </w:rPr>
        <w:t>附件</w:t>
      </w:r>
      <w:r>
        <w:rPr>
          <w:rFonts w:ascii="Times New Roman" w:hAnsi="Times New Roman" w:eastAsia="黑体" w:cs="Times New Roman"/>
          <w:color w:val="000000" w:themeColor="text1"/>
          <w:sz w:val="32"/>
          <w:szCs w:val="32"/>
        </w:rPr>
        <w:t>2</w:t>
      </w:r>
    </w:p>
    <w:p>
      <w:pPr>
        <w:spacing w:line="660" w:lineRule="exact"/>
        <w:jc w:val="center"/>
        <w:rPr>
          <w:rFonts w:ascii="方正小标宋简体" w:hAnsi="方正小标宋简体" w:eastAsia="方正小标宋简体" w:cs="方正小标宋简体"/>
          <w:color w:val="000000" w:themeColor="text1"/>
          <w:sz w:val="36"/>
          <w:szCs w:val="36"/>
        </w:rPr>
      </w:pPr>
    </w:p>
    <w:p>
      <w:pPr>
        <w:spacing w:line="660" w:lineRule="exact"/>
        <w:jc w:val="center"/>
        <w:rPr>
          <w:rFonts w:ascii="方正小标宋简体" w:hAnsi="方正小标宋简体" w:eastAsia="方正小标宋简体" w:cs="方正小标宋简体"/>
          <w:color w:val="000000" w:themeColor="text1"/>
          <w:sz w:val="40"/>
          <w:szCs w:val="40"/>
        </w:rPr>
      </w:pPr>
      <w:r>
        <w:rPr>
          <w:rFonts w:hint="eastAsia" w:ascii="方正小标宋简体" w:hAnsi="方正小标宋简体" w:eastAsia="方正小标宋简体" w:cs="方正小标宋简体"/>
          <w:color w:val="000000" w:themeColor="text1"/>
          <w:sz w:val="40"/>
          <w:szCs w:val="40"/>
        </w:rPr>
        <w:t>贵州省实行告知承诺制的涉企经营许可事项目录</w:t>
      </w:r>
    </w:p>
    <w:p>
      <w:pPr>
        <w:spacing w:line="560" w:lineRule="exact"/>
        <w:jc w:val="center"/>
        <w:rPr>
          <w:rFonts w:ascii="方正小标宋_GBK" w:eastAsia="方正小标宋_GBK"/>
          <w:color w:val="000000" w:themeColor="text1"/>
          <w:sz w:val="36"/>
          <w:szCs w:val="36"/>
        </w:rPr>
      </w:pPr>
    </w:p>
    <w:tbl>
      <w:tblPr>
        <w:tblStyle w:val="8"/>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176"/>
        <w:gridCol w:w="1542"/>
        <w:gridCol w:w="1251"/>
        <w:gridCol w:w="184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blHeader/>
          <w:jc w:val="center"/>
        </w:trPr>
        <w:tc>
          <w:tcPr>
            <w:tcW w:w="747" w:type="dxa"/>
            <w:shd w:val="clear" w:color="auto" w:fill="auto"/>
            <w:vAlign w:val="center"/>
          </w:tcPr>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序号</w:t>
            </w:r>
          </w:p>
        </w:tc>
        <w:tc>
          <w:tcPr>
            <w:tcW w:w="1176" w:type="dxa"/>
            <w:shd w:val="clear" w:color="auto" w:fill="auto"/>
            <w:vAlign w:val="center"/>
          </w:tcPr>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省级主管部门</w:t>
            </w:r>
          </w:p>
        </w:tc>
        <w:tc>
          <w:tcPr>
            <w:tcW w:w="1542" w:type="dxa"/>
            <w:shd w:val="clear" w:color="auto" w:fill="auto"/>
            <w:vAlign w:val="center"/>
          </w:tcPr>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实行告知承诺制的涉企经营许可</w:t>
            </w:r>
          </w:p>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事项</w:t>
            </w:r>
          </w:p>
        </w:tc>
        <w:tc>
          <w:tcPr>
            <w:tcW w:w="1251" w:type="dxa"/>
            <w:shd w:val="clear" w:color="auto" w:fill="auto"/>
            <w:vAlign w:val="center"/>
          </w:tcPr>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许可证件名称</w:t>
            </w:r>
          </w:p>
        </w:tc>
        <w:tc>
          <w:tcPr>
            <w:tcW w:w="1842" w:type="dxa"/>
            <w:shd w:val="clear" w:color="auto" w:fill="auto"/>
            <w:vAlign w:val="center"/>
          </w:tcPr>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设定依据</w:t>
            </w:r>
          </w:p>
        </w:tc>
        <w:tc>
          <w:tcPr>
            <w:tcW w:w="1842" w:type="dxa"/>
            <w:shd w:val="clear" w:color="auto" w:fill="auto"/>
            <w:vAlign w:val="center"/>
          </w:tcPr>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审批层级和</w:t>
            </w:r>
          </w:p>
          <w:p>
            <w:pPr>
              <w:widowControl/>
              <w:jc w:val="center"/>
              <w:rPr>
                <w:rFonts w:ascii="黑体" w:hAnsi="黑体" w:eastAsia="黑体"/>
                <w:color w:val="000000" w:themeColor="text1"/>
                <w:kern w:val="0"/>
                <w:sz w:val="24"/>
              </w:rPr>
            </w:pPr>
            <w:r>
              <w:rPr>
                <w:rFonts w:hint="eastAsia" w:ascii="黑体" w:hAnsi="黑体" w:eastAsia="黑体"/>
                <w:color w:val="000000" w:themeColor="text1"/>
                <w:kern w:val="0"/>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省公安厅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旅馆业特种行业许可证核发</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旅馆业特种行业许可证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《国务院对确需保留的行政审批项目设定行政许可的决定》《旅馆业治安管理办法》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省公安厅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公章刻制业特种行业许可证核发</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公章刻制业特种行业许可证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《国务院对确需保留的行政审批项目设定行政许可的决定》《印铸刻字业暂行管理规则》</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省公安厅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互联网上网服务营业场所信息网络安全审核</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批准文件</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《互联网上网服务营业场所管理条例》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省、设区的市、县级公安机关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省财政厅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会计师事务所分支机构设立审批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会计师事务所分所职业证书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《中华人民共和国注册会计师法》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5</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省财政厅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中介机构从事代理记账业务审批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代理记账许可证书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《中华人民共和国会计法》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县级以上地方财政部门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6</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省人力资源社会保障厅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民办职业培训学校设立、分立、合并、变更及终止审批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民办学校办学许可证</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《中华人民共和国民办教育促进法》</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县级以上地方人力资源社会保障部门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7</w:t>
            </w:r>
          </w:p>
        </w:tc>
        <w:tc>
          <w:tcPr>
            <w:tcW w:w="1176"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省人力资源社会保障厅</w:t>
            </w:r>
          </w:p>
        </w:tc>
        <w:tc>
          <w:tcPr>
            <w:tcW w:w="15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经营性中外合作职业技能培训机构设立、分立、合并、变更、终止审批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中外合作办学许可证、内地与港澳台地区合作办学许可证</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《中华人民共和国中外合作办学条例》</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省级人力资源社会保障部门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8</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省人力资源社会保障厅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人力资源服务许可</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人力资源服务许可证</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《中华人民共和国就业促进法》《人力资源市场暂行条例》</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县级以上地方人力资源社会保障部门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9</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省自然资源厅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城乡规划编制单位乙级资质认定</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城乡规划编制资质证书</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《中华人民共和国城乡规划法》</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10</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省住房城乡建设厅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从事城市生活垃圾经营性清扫、收集、运输、处理服务审批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城市生活垃圾经营性清扫、收集、运输、处置服务许可证</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《国务院对确需保留的行政审批项目设定行政许可的决定》</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城市政府环境卫生部门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11</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省交通运输厅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水运工程监理企业乙级资质认定</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交通建设工程监理企业资质等级证书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《建设工程质量管理条例》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12</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省交通运输厅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水运工程监理企业机电专项资质认定</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交通建设工程监理企业资质等级证书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《建设工程质量管理条例》</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13</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省交通运输厅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道路货运经营许可</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道路运输经营许可证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《中华人民共和国道路运输条例》</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县级交通运输部门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14</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省交通运输厅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道路旅客运输站经营许可</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道路运输经营许可证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《中华人民共和国道路运输条例》</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县级交通运输部门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15</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省交通运输厅</w:t>
            </w:r>
          </w:p>
        </w:tc>
        <w:tc>
          <w:tcPr>
            <w:tcW w:w="15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港口（涉及客运和危险货物港口作业的经营项目除外）经营许可</w:t>
            </w:r>
          </w:p>
        </w:tc>
        <w:tc>
          <w:tcPr>
            <w:tcW w:w="1251"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港口经营许可证</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《中华人民共和国港口法》</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省级交通运输部门或所在地港口部门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16</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省水利厅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水利工程质量检测单位资质认定（乙级）</w:t>
            </w:r>
          </w:p>
        </w:tc>
        <w:tc>
          <w:tcPr>
            <w:tcW w:w="1251" w:type="dxa"/>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水利工程质量检测单位资质等级证书（乙级）</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《国务院对确需保留的行政审批项目设定行政许可的决定》</w:t>
            </w:r>
          </w:p>
        </w:tc>
        <w:tc>
          <w:tcPr>
            <w:tcW w:w="1842" w:type="dxa"/>
            <w:shd w:val="clear" w:color="auto" w:fill="auto"/>
            <w:vAlign w:val="center"/>
          </w:tcPr>
          <w:p>
            <w:pPr>
              <w:widowControl/>
              <w:spacing w:line="30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省级水利部门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17</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省商务厅</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从事拍卖业务许可</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拍卖经营批准证书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《中华人民共和国拍卖法》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省级商务部门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18</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省卫生健康委</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公共场所卫生许可</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卫生许可证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《公共场所卫生管理条例》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县级以上地方卫生健康部门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19</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省卫生健康委</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社会办医疗机构乙类大型医用设备配置许可</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乙类大型医用设备配置许可</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《医疗器械监督管理条例》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20</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省林业局</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林草种子（普通）生产经营许可证核发</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林草种子生产经营许可证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《中华人民共和国种子法》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设区的市、县级林业部门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21</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省林业局</w:t>
            </w:r>
          </w:p>
        </w:tc>
        <w:tc>
          <w:tcPr>
            <w:tcW w:w="1542" w:type="dxa"/>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省级权限内国家重点保护陆生野生动物人工繁育许可证核发（已制定人工繁育技术标准的物种和列入人工繁育国家重点保护陆生野生动物目录的物种）</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国家重点保护陆生野生动物人工繁育许可证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《中华人民共和国野生动物保护法》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省级林业部门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22</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省市场监管局</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检验检测机构资质认定</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检验检测机构资质认定证书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《中华人民共和国计量法》《中华人民共和国食品安全法》《中华人民共和国计量法实施细则》《中华人民共和国认证认可条例》《医疗器械监督管理条例》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23</w:t>
            </w:r>
          </w:p>
        </w:tc>
        <w:tc>
          <w:tcPr>
            <w:tcW w:w="1176" w:type="dxa"/>
            <w:shd w:val="clear" w:color="auto" w:fill="auto"/>
            <w:vAlign w:val="center"/>
          </w:tcPr>
          <w:p>
            <w:pPr>
              <w:widowControl/>
              <w:spacing w:line="34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省市场监管局</w:t>
            </w:r>
          </w:p>
        </w:tc>
        <w:tc>
          <w:tcPr>
            <w:tcW w:w="1542" w:type="dxa"/>
            <w:shd w:val="clear" w:color="auto" w:fill="auto"/>
            <w:vAlign w:val="center"/>
          </w:tcPr>
          <w:p>
            <w:pPr>
              <w:widowControl/>
              <w:spacing w:line="34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重要工业产品生产许可证核发（食品相关产品、化肥）</w:t>
            </w:r>
          </w:p>
        </w:tc>
        <w:tc>
          <w:tcPr>
            <w:tcW w:w="1251" w:type="dxa"/>
            <w:shd w:val="clear" w:color="auto" w:fill="auto"/>
            <w:vAlign w:val="center"/>
          </w:tcPr>
          <w:p>
            <w:pPr>
              <w:widowControl/>
              <w:spacing w:line="34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重要工业产品生产许可证</w:t>
            </w:r>
          </w:p>
        </w:tc>
        <w:tc>
          <w:tcPr>
            <w:tcW w:w="1842" w:type="dxa"/>
            <w:shd w:val="clear" w:color="auto" w:fill="auto"/>
            <w:vAlign w:val="center"/>
          </w:tcPr>
          <w:p>
            <w:pPr>
              <w:widowControl/>
              <w:spacing w:line="34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《中华人民共和国食品安全法》《中华人民共和国工业产品生产许可证管理条例》</w:t>
            </w:r>
          </w:p>
        </w:tc>
        <w:tc>
          <w:tcPr>
            <w:tcW w:w="1842" w:type="dxa"/>
            <w:shd w:val="clear" w:color="auto" w:fill="auto"/>
            <w:vAlign w:val="center"/>
          </w:tcPr>
          <w:p>
            <w:pPr>
              <w:widowControl/>
              <w:spacing w:line="340" w:lineRule="exact"/>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24</w:t>
            </w:r>
          </w:p>
        </w:tc>
        <w:tc>
          <w:tcPr>
            <w:tcW w:w="1176" w:type="dxa"/>
            <w:shd w:val="clear" w:color="auto" w:fill="auto"/>
            <w:vAlign w:val="center"/>
          </w:tcPr>
          <w:p>
            <w:pPr>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kern w:val="0"/>
                <w:sz w:val="22"/>
                <w:szCs w:val="22"/>
              </w:rPr>
              <w:t>省新闻出版局</w:t>
            </w:r>
          </w:p>
        </w:tc>
        <w:tc>
          <w:tcPr>
            <w:tcW w:w="15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音像制作单位设立、变更审批</w:t>
            </w:r>
          </w:p>
        </w:tc>
        <w:tc>
          <w:tcPr>
            <w:tcW w:w="1251"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音像制品制作许可证</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《音像制品管理条例》</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省级新闻出版部门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25</w:t>
            </w:r>
          </w:p>
        </w:tc>
        <w:tc>
          <w:tcPr>
            <w:tcW w:w="1176" w:type="dxa"/>
            <w:shd w:val="clear" w:color="auto" w:fill="auto"/>
            <w:vAlign w:val="center"/>
          </w:tcPr>
          <w:p>
            <w:pPr>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kern w:val="0"/>
                <w:sz w:val="22"/>
                <w:szCs w:val="22"/>
              </w:rPr>
              <w:t>省新闻出版局</w:t>
            </w:r>
          </w:p>
        </w:tc>
        <w:tc>
          <w:tcPr>
            <w:tcW w:w="15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电子出版物制作单位设立、变更审批</w:t>
            </w:r>
          </w:p>
        </w:tc>
        <w:tc>
          <w:tcPr>
            <w:tcW w:w="1251"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电子出版物制作许可证</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《音像制品管理条例》</w:t>
            </w:r>
          </w:p>
        </w:tc>
        <w:tc>
          <w:tcPr>
            <w:tcW w:w="1842" w:type="dxa"/>
            <w:shd w:val="clear" w:color="auto" w:fill="auto"/>
            <w:vAlign w:val="center"/>
          </w:tcPr>
          <w:p>
            <w:pPr>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sz w:val="22"/>
                <w:szCs w:val="22"/>
              </w:rPr>
              <w:t>省级新闻出版部门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26</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省新闻出版局</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从事包装装潢印刷品和其他印刷品（不含商标、票据、保密印刷）印刷经营活动企业（不含外资企业）的设立、变更审批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印刷经营许可证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《印刷业管理条例》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设区的市级新闻出版部门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27</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省药监局</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药品互联网信息服务审批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互联网药品信息服务资格证书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《互联网信息服务管理办法》《互联网药品信息服务管理办法》（食品药品监管总局令第9号公布，食品药品监管总局令第37号修正）</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省级药监部门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28</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省药监局</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医疗器械互联网信息服务审批</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互联网药品信息服务资格证书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《互联网信息服务管理办法》《互联网药品信息服务管理办法》（食品药品监管总局令第9号公布，食品药品监管总局令第37号修正）</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省级药监部门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29</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省药监局</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医疗机构使用放射性药品（一、二类）许可</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放射性药品使用许可证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《放射性药品管理办法》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省级药监部门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30</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省消防救援总队</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公众聚集场所投入使用、营业前消防安全检查</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公众聚集场所投入使用、营业前消防安全检查意见书</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《中华人民共和国消防法》</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设区的市、县级消防救援机构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31</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贵阳海关</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口岸卫生许可证（涉及公共场所）核发</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国境口岸卫生许可证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《中华人民共和国国境卫生检疫法实施细则》</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主管海关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32</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国家能源局贵州监管办</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电力业务许可证核发</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电力业务许可证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《中华人民共和国电力法》《电力供应与使用条例》《电力监管条例》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国家能源局派出机构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747" w:type="dxa"/>
            <w:shd w:val="clear" w:color="auto" w:fill="auto"/>
            <w:noWrap/>
            <w:vAlign w:val="center"/>
          </w:tcPr>
          <w:p>
            <w:pPr>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33</w:t>
            </w:r>
          </w:p>
        </w:tc>
        <w:tc>
          <w:tcPr>
            <w:tcW w:w="1176"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国家能源局贵州监管办</w:t>
            </w:r>
          </w:p>
        </w:tc>
        <w:tc>
          <w:tcPr>
            <w:tcW w:w="15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承装（修、试）电力设备许可证核发</w:t>
            </w:r>
          </w:p>
        </w:tc>
        <w:tc>
          <w:tcPr>
            <w:tcW w:w="1251"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承装（修、试）电力设备许可证</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《中华人民共和国电力法》《电力供应与使用条例》《电力监管条例》</w:t>
            </w:r>
          </w:p>
        </w:tc>
        <w:tc>
          <w:tcPr>
            <w:tcW w:w="1842" w:type="dxa"/>
            <w:shd w:val="clear" w:color="auto" w:fill="auto"/>
            <w:vAlign w:val="center"/>
          </w:tcPr>
          <w:p>
            <w:pPr>
              <w:widowControl/>
              <w:jc w:val="center"/>
              <w:rPr>
                <w:rFonts w:ascii="仿宋_GB2312" w:hAnsi="仿宋_GB2312" w:eastAsia="仿宋_GB2312" w:cs="仿宋_GB2312"/>
                <w:color w:val="000000" w:themeColor="text1"/>
                <w:kern w:val="0"/>
                <w:sz w:val="22"/>
                <w:szCs w:val="22"/>
              </w:rPr>
            </w:pPr>
            <w:r>
              <w:rPr>
                <w:rFonts w:hint="eastAsia" w:ascii="仿宋_GB2312" w:hAnsi="仿宋_GB2312" w:eastAsia="仿宋_GB2312" w:cs="仿宋_GB2312"/>
                <w:color w:val="000000" w:themeColor="text1"/>
                <w:kern w:val="0"/>
                <w:sz w:val="22"/>
                <w:szCs w:val="22"/>
              </w:rPr>
              <w:t>国家能源局派出机构</w:t>
            </w:r>
          </w:p>
        </w:tc>
      </w:tr>
    </w:tbl>
    <w:p>
      <w:pPr>
        <w:spacing w:line="560" w:lineRule="exact"/>
        <w:rPr>
          <w:rFonts w:ascii="Times New Roman" w:hAnsi="Times New Roman" w:cs="Times New Roman"/>
          <w:color w:val="000000" w:themeColor="text1"/>
        </w:rPr>
      </w:pPr>
      <w:bookmarkStart w:id="0" w:name="_GoBack"/>
      <w:bookmarkEnd w:id="0"/>
    </w:p>
    <w:sectPr>
      <w:headerReference r:id="rId3" w:type="default"/>
      <w:footerReference r:id="rId4" w:type="default"/>
      <w:pgSz w:w="11906" w:h="16838"/>
      <w:pgMar w:top="2098" w:right="1474" w:bottom="1984" w:left="158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5"/>
        <w:szCs w:val="15"/>
      </w:rPr>
    </w:pPr>
    <w:r>
      <w:rPr>
        <w:sz w:val="15"/>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path/>
          <v:fill on="f" focussize="0,0"/>
          <v:stroke on="f" joinstyle="miter"/>
          <v:imagedata o:title=""/>
          <o:lock v:ext="edit"/>
          <v:textbox inset="0mm,0mm,0mm,0mm" style="mso-fit-shape-to-text:t;">
            <w:txbxContent>
              <w:p>
                <w:pPr>
                  <w:pStyle w:val="5"/>
                  <w:ind w:left="283" w:right="283"/>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59</w:t>
                </w:r>
                <w:r>
                  <w:rPr>
                    <w:rFonts w:hint="eastAsia" w:ascii="宋体" w:hAnsi="宋体" w:cs="宋体"/>
                    <w:sz w:val="28"/>
                    <w:szCs w:val="28"/>
                  </w:rPr>
                  <w:fldChar w:fldCharType="end"/>
                </w:r>
                <w:r>
                  <w:rPr>
                    <w:rFonts w:hint="eastAsia" w:ascii="宋体" w:hAnsi="宋体" w:cs="宋体"/>
                    <w:sz w:val="28"/>
                    <w:szCs w:val="28"/>
                  </w:rPr>
                  <w:t>－</w:t>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iYThiY2I5YWExYTdkNzAzODEzYjc2MWEyY2RmMmUifQ=="/>
  </w:docVars>
  <w:rsids>
    <w:rsidRoot w:val="11DE1D4B"/>
    <w:rsid w:val="0024123D"/>
    <w:rsid w:val="002D269B"/>
    <w:rsid w:val="003937F0"/>
    <w:rsid w:val="005D1D90"/>
    <w:rsid w:val="00B81984"/>
    <w:rsid w:val="011B1AD1"/>
    <w:rsid w:val="013A3F8C"/>
    <w:rsid w:val="014B07F6"/>
    <w:rsid w:val="016E7293"/>
    <w:rsid w:val="02323351"/>
    <w:rsid w:val="027C0E59"/>
    <w:rsid w:val="03384499"/>
    <w:rsid w:val="03917577"/>
    <w:rsid w:val="039B178A"/>
    <w:rsid w:val="03D52C55"/>
    <w:rsid w:val="041E145B"/>
    <w:rsid w:val="0453425F"/>
    <w:rsid w:val="04A61AD7"/>
    <w:rsid w:val="04B751DB"/>
    <w:rsid w:val="04C27D6F"/>
    <w:rsid w:val="051D4298"/>
    <w:rsid w:val="05C5497D"/>
    <w:rsid w:val="05FE57FA"/>
    <w:rsid w:val="063876A4"/>
    <w:rsid w:val="068B2F7D"/>
    <w:rsid w:val="06AB6799"/>
    <w:rsid w:val="06AE70E8"/>
    <w:rsid w:val="06F54AB8"/>
    <w:rsid w:val="07862E01"/>
    <w:rsid w:val="08722C11"/>
    <w:rsid w:val="08F706D2"/>
    <w:rsid w:val="090E1BBA"/>
    <w:rsid w:val="09180E3E"/>
    <w:rsid w:val="09BB1AFF"/>
    <w:rsid w:val="09C222F9"/>
    <w:rsid w:val="09D95D61"/>
    <w:rsid w:val="09EA33AB"/>
    <w:rsid w:val="0A075D0B"/>
    <w:rsid w:val="0A4505E1"/>
    <w:rsid w:val="0A814349"/>
    <w:rsid w:val="0A98095A"/>
    <w:rsid w:val="0AC347AE"/>
    <w:rsid w:val="0B1964C2"/>
    <w:rsid w:val="0B260413"/>
    <w:rsid w:val="0C1A224D"/>
    <w:rsid w:val="0C275BE1"/>
    <w:rsid w:val="0CDC159A"/>
    <w:rsid w:val="0D175A44"/>
    <w:rsid w:val="0D365699"/>
    <w:rsid w:val="0DA2127A"/>
    <w:rsid w:val="0DD3627F"/>
    <w:rsid w:val="0DFB570C"/>
    <w:rsid w:val="0EB2767E"/>
    <w:rsid w:val="0ED11401"/>
    <w:rsid w:val="0FBC30F4"/>
    <w:rsid w:val="109C62DD"/>
    <w:rsid w:val="11665A63"/>
    <w:rsid w:val="11DE1D4B"/>
    <w:rsid w:val="12263F6B"/>
    <w:rsid w:val="122E5BA7"/>
    <w:rsid w:val="12435284"/>
    <w:rsid w:val="13246104"/>
    <w:rsid w:val="13CF028E"/>
    <w:rsid w:val="14541F4E"/>
    <w:rsid w:val="14A87AFC"/>
    <w:rsid w:val="158157D1"/>
    <w:rsid w:val="15854FDC"/>
    <w:rsid w:val="15AF54A9"/>
    <w:rsid w:val="162D7F82"/>
    <w:rsid w:val="16A74423"/>
    <w:rsid w:val="178A3AD7"/>
    <w:rsid w:val="17997A78"/>
    <w:rsid w:val="17F44E45"/>
    <w:rsid w:val="18854A4A"/>
    <w:rsid w:val="18EE0716"/>
    <w:rsid w:val="194924B3"/>
    <w:rsid w:val="196F5DC8"/>
    <w:rsid w:val="19856FC3"/>
    <w:rsid w:val="1AB12F79"/>
    <w:rsid w:val="1B827018"/>
    <w:rsid w:val="1BCD588E"/>
    <w:rsid w:val="1BEF2D2A"/>
    <w:rsid w:val="1BFE0FCC"/>
    <w:rsid w:val="1C1A01BF"/>
    <w:rsid w:val="1C4F042B"/>
    <w:rsid w:val="1D1E32A8"/>
    <w:rsid w:val="1DB54F4A"/>
    <w:rsid w:val="1DE57E71"/>
    <w:rsid w:val="1DFC787B"/>
    <w:rsid w:val="1E2D6244"/>
    <w:rsid w:val="1EEC3FBC"/>
    <w:rsid w:val="1F325180"/>
    <w:rsid w:val="1F420035"/>
    <w:rsid w:val="1F4B0B02"/>
    <w:rsid w:val="20B32A99"/>
    <w:rsid w:val="210F5215"/>
    <w:rsid w:val="21D818E3"/>
    <w:rsid w:val="21F26E49"/>
    <w:rsid w:val="22142AD8"/>
    <w:rsid w:val="2261509F"/>
    <w:rsid w:val="22CD5B1C"/>
    <w:rsid w:val="22D912B5"/>
    <w:rsid w:val="23E33A5E"/>
    <w:rsid w:val="2475445D"/>
    <w:rsid w:val="24F21C33"/>
    <w:rsid w:val="24FD7FDE"/>
    <w:rsid w:val="252217F3"/>
    <w:rsid w:val="253E77AD"/>
    <w:rsid w:val="256A520F"/>
    <w:rsid w:val="256C46E2"/>
    <w:rsid w:val="257B1A96"/>
    <w:rsid w:val="261E6164"/>
    <w:rsid w:val="26215F4F"/>
    <w:rsid w:val="2679051E"/>
    <w:rsid w:val="268A4DCA"/>
    <w:rsid w:val="26A646B1"/>
    <w:rsid w:val="26CE52AD"/>
    <w:rsid w:val="2705601E"/>
    <w:rsid w:val="27075A54"/>
    <w:rsid w:val="27D03A9C"/>
    <w:rsid w:val="280D16C3"/>
    <w:rsid w:val="28126FA2"/>
    <w:rsid w:val="286D0FD7"/>
    <w:rsid w:val="28797283"/>
    <w:rsid w:val="28AB2E9D"/>
    <w:rsid w:val="28B82990"/>
    <w:rsid w:val="290108E9"/>
    <w:rsid w:val="294E3480"/>
    <w:rsid w:val="2A49742A"/>
    <w:rsid w:val="2B2142FB"/>
    <w:rsid w:val="2B7060E0"/>
    <w:rsid w:val="2B7C6600"/>
    <w:rsid w:val="2B817B00"/>
    <w:rsid w:val="2CAA70B3"/>
    <w:rsid w:val="2CFE5BB5"/>
    <w:rsid w:val="2D4608DA"/>
    <w:rsid w:val="2D5667DE"/>
    <w:rsid w:val="2DB604DD"/>
    <w:rsid w:val="2DB67D70"/>
    <w:rsid w:val="2E2D680D"/>
    <w:rsid w:val="2F5E167A"/>
    <w:rsid w:val="2F72682E"/>
    <w:rsid w:val="2F80268E"/>
    <w:rsid w:val="304566B0"/>
    <w:rsid w:val="30650FF7"/>
    <w:rsid w:val="309C4D8E"/>
    <w:rsid w:val="30EB1633"/>
    <w:rsid w:val="312D58EE"/>
    <w:rsid w:val="316B5A7F"/>
    <w:rsid w:val="31973009"/>
    <w:rsid w:val="31C6303A"/>
    <w:rsid w:val="31D652C6"/>
    <w:rsid w:val="31E41937"/>
    <w:rsid w:val="329A271D"/>
    <w:rsid w:val="32D91CFB"/>
    <w:rsid w:val="333B117A"/>
    <w:rsid w:val="333E1ED3"/>
    <w:rsid w:val="33E67E90"/>
    <w:rsid w:val="343F729C"/>
    <w:rsid w:val="34952421"/>
    <w:rsid w:val="34A20388"/>
    <w:rsid w:val="34A53F44"/>
    <w:rsid w:val="34D02904"/>
    <w:rsid w:val="34F57E94"/>
    <w:rsid w:val="351B1DBB"/>
    <w:rsid w:val="351E24EC"/>
    <w:rsid w:val="353E2156"/>
    <w:rsid w:val="35754A3A"/>
    <w:rsid w:val="35DF65D2"/>
    <w:rsid w:val="361E352E"/>
    <w:rsid w:val="37133692"/>
    <w:rsid w:val="372A4896"/>
    <w:rsid w:val="37423CF9"/>
    <w:rsid w:val="374E34DF"/>
    <w:rsid w:val="377B3C87"/>
    <w:rsid w:val="37BB22B3"/>
    <w:rsid w:val="37D02051"/>
    <w:rsid w:val="382B190D"/>
    <w:rsid w:val="38827DF8"/>
    <w:rsid w:val="38841848"/>
    <w:rsid w:val="391E700B"/>
    <w:rsid w:val="39BF561D"/>
    <w:rsid w:val="39D51B0E"/>
    <w:rsid w:val="3A1B6A49"/>
    <w:rsid w:val="3B057A89"/>
    <w:rsid w:val="3B4633AC"/>
    <w:rsid w:val="3B783F51"/>
    <w:rsid w:val="3B900636"/>
    <w:rsid w:val="3BCE3899"/>
    <w:rsid w:val="3BD63F21"/>
    <w:rsid w:val="3C7060A1"/>
    <w:rsid w:val="3DF36714"/>
    <w:rsid w:val="3E0755D2"/>
    <w:rsid w:val="3E320C4C"/>
    <w:rsid w:val="3E3B2629"/>
    <w:rsid w:val="3F26333C"/>
    <w:rsid w:val="3F611870"/>
    <w:rsid w:val="3F7332A6"/>
    <w:rsid w:val="3FF8696D"/>
    <w:rsid w:val="40C11DC2"/>
    <w:rsid w:val="42112CF3"/>
    <w:rsid w:val="422B31BA"/>
    <w:rsid w:val="422B751D"/>
    <w:rsid w:val="427E4696"/>
    <w:rsid w:val="431C41DA"/>
    <w:rsid w:val="433B42D0"/>
    <w:rsid w:val="448B4867"/>
    <w:rsid w:val="44E6436F"/>
    <w:rsid w:val="451B35CE"/>
    <w:rsid w:val="4726330F"/>
    <w:rsid w:val="4765257D"/>
    <w:rsid w:val="47B96F3C"/>
    <w:rsid w:val="48083B97"/>
    <w:rsid w:val="491749BD"/>
    <w:rsid w:val="49587E49"/>
    <w:rsid w:val="49801DA1"/>
    <w:rsid w:val="49B26D3A"/>
    <w:rsid w:val="49C95AFE"/>
    <w:rsid w:val="4A0D3F70"/>
    <w:rsid w:val="4A807311"/>
    <w:rsid w:val="4AD966E4"/>
    <w:rsid w:val="4AE051E1"/>
    <w:rsid w:val="4B63464E"/>
    <w:rsid w:val="4B8B339F"/>
    <w:rsid w:val="4BA433F3"/>
    <w:rsid w:val="4BA83F51"/>
    <w:rsid w:val="4C261585"/>
    <w:rsid w:val="4C7D0850"/>
    <w:rsid w:val="4CA13CE1"/>
    <w:rsid w:val="4CBA5B0E"/>
    <w:rsid w:val="4D602609"/>
    <w:rsid w:val="4DCC34FE"/>
    <w:rsid w:val="4DE96017"/>
    <w:rsid w:val="4E971861"/>
    <w:rsid w:val="4EF92E49"/>
    <w:rsid w:val="4F4D5BA9"/>
    <w:rsid w:val="4FD51C85"/>
    <w:rsid w:val="50211961"/>
    <w:rsid w:val="50923BE5"/>
    <w:rsid w:val="50DB7FF1"/>
    <w:rsid w:val="51225138"/>
    <w:rsid w:val="513E0EB3"/>
    <w:rsid w:val="52BE22AC"/>
    <w:rsid w:val="52C31A5B"/>
    <w:rsid w:val="52ED70CC"/>
    <w:rsid w:val="533E5489"/>
    <w:rsid w:val="53CC16A8"/>
    <w:rsid w:val="5428175B"/>
    <w:rsid w:val="54341931"/>
    <w:rsid w:val="548C2946"/>
    <w:rsid w:val="549A1BD9"/>
    <w:rsid w:val="560E4673"/>
    <w:rsid w:val="567972D2"/>
    <w:rsid w:val="57877746"/>
    <w:rsid w:val="584C7EFE"/>
    <w:rsid w:val="585C3C2E"/>
    <w:rsid w:val="58603EE4"/>
    <w:rsid w:val="589350A3"/>
    <w:rsid w:val="58AC1753"/>
    <w:rsid w:val="59007D42"/>
    <w:rsid w:val="590833B2"/>
    <w:rsid w:val="59DC0806"/>
    <w:rsid w:val="5A56101C"/>
    <w:rsid w:val="5B1769FD"/>
    <w:rsid w:val="5B4761F6"/>
    <w:rsid w:val="5B692A0A"/>
    <w:rsid w:val="5B8057F9"/>
    <w:rsid w:val="5BE55501"/>
    <w:rsid w:val="5C1D0682"/>
    <w:rsid w:val="5C2B4288"/>
    <w:rsid w:val="5C67342A"/>
    <w:rsid w:val="5CA22C3E"/>
    <w:rsid w:val="5CD5529D"/>
    <w:rsid w:val="5CD86660"/>
    <w:rsid w:val="5D086CB7"/>
    <w:rsid w:val="5D7A166C"/>
    <w:rsid w:val="5D967917"/>
    <w:rsid w:val="5DED48DE"/>
    <w:rsid w:val="5EBE378D"/>
    <w:rsid w:val="5EEC5E97"/>
    <w:rsid w:val="60111A63"/>
    <w:rsid w:val="6019677F"/>
    <w:rsid w:val="617E2507"/>
    <w:rsid w:val="622D2079"/>
    <w:rsid w:val="62402CDD"/>
    <w:rsid w:val="62BA2CFA"/>
    <w:rsid w:val="6311467A"/>
    <w:rsid w:val="64BB664B"/>
    <w:rsid w:val="64BC28A1"/>
    <w:rsid w:val="64C144BE"/>
    <w:rsid w:val="64C3740C"/>
    <w:rsid w:val="65E34A86"/>
    <w:rsid w:val="65FF07B9"/>
    <w:rsid w:val="66996E60"/>
    <w:rsid w:val="66FB0D23"/>
    <w:rsid w:val="672A50B9"/>
    <w:rsid w:val="67817DD1"/>
    <w:rsid w:val="67D95B13"/>
    <w:rsid w:val="681B4C06"/>
    <w:rsid w:val="681D0932"/>
    <w:rsid w:val="68697A9E"/>
    <w:rsid w:val="69087F65"/>
    <w:rsid w:val="698414DD"/>
    <w:rsid w:val="69975DE4"/>
    <w:rsid w:val="69C11E96"/>
    <w:rsid w:val="6A3B6DD7"/>
    <w:rsid w:val="6AF06E62"/>
    <w:rsid w:val="6B3E1710"/>
    <w:rsid w:val="6BB6753B"/>
    <w:rsid w:val="6C001A4F"/>
    <w:rsid w:val="6C626162"/>
    <w:rsid w:val="6C7732D1"/>
    <w:rsid w:val="6C8D5C9B"/>
    <w:rsid w:val="6CC87DEE"/>
    <w:rsid w:val="6CD40203"/>
    <w:rsid w:val="6D0434E7"/>
    <w:rsid w:val="6D5C1ABA"/>
    <w:rsid w:val="6E1E517E"/>
    <w:rsid w:val="6E6B2E90"/>
    <w:rsid w:val="6E89221D"/>
    <w:rsid w:val="6ED64A06"/>
    <w:rsid w:val="6F2A173E"/>
    <w:rsid w:val="701B4C4C"/>
    <w:rsid w:val="70293003"/>
    <w:rsid w:val="704B265B"/>
    <w:rsid w:val="70BB0F08"/>
    <w:rsid w:val="714F4CEB"/>
    <w:rsid w:val="715D138B"/>
    <w:rsid w:val="722E4F10"/>
    <w:rsid w:val="72C30157"/>
    <w:rsid w:val="730B3312"/>
    <w:rsid w:val="732D79E3"/>
    <w:rsid w:val="737A76C1"/>
    <w:rsid w:val="73CB0816"/>
    <w:rsid w:val="74330FE4"/>
    <w:rsid w:val="743D1C12"/>
    <w:rsid w:val="75071439"/>
    <w:rsid w:val="7513602F"/>
    <w:rsid w:val="75CB5C04"/>
    <w:rsid w:val="761B3CCA"/>
    <w:rsid w:val="76B935D3"/>
    <w:rsid w:val="76C65F83"/>
    <w:rsid w:val="7727292D"/>
    <w:rsid w:val="77CE623E"/>
    <w:rsid w:val="781603BA"/>
    <w:rsid w:val="78EF36CA"/>
    <w:rsid w:val="797762C1"/>
    <w:rsid w:val="7986738B"/>
    <w:rsid w:val="79B871A5"/>
    <w:rsid w:val="79D63962"/>
    <w:rsid w:val="7A365EC6"/>
    <w:rsid w:val="7B952BEB"/>
    <w:rsid w:val="7BDB0B2B"/>
    <w:rsid w:val="7BDB1408"/>
    <w:rsid w:val="7BE02475"/>
    <w:rsid w:val="7BFF12B4"/>
    <w:rsid w:val="7C902F6B"/>
    <w:rsid w:val="7C9D22DB"/>
    <w:rsid w:val="7CCE4C6C"/>
    <w:rsid w:val="7CD74D14"/>
    <w:rsid w:val="7D6727FA"/>
    <w:rsid w:val="7D7560EF"/>
    <w:rsid w:val="7DAE4B47"/>
    <w:rsid w:val="7DB163E5"/>
    <w:rsid w:val="7E3A2050"/>
    <w:rsid w:val="7E6555FF"/>
    <w:rsid w:val="7E7A672F"/>
    <w:rsid w:val="7E8F5739"/>
    <w:rsid w:val="7F0C2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9"/>
    <w:pPr>
      <w:keepNext/>
      <w:keepLines/>
      <w:spacing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index 5"/>
    <w:basedOn w:val="1"/>
    <w:next w:val="1"/>
    <w:qFormat/>
    <w:uiPriority w:val="0"/>
    <w:pPr>
      <w:ind w:left="1680"/>
    </w:pPr>
    <w:rPr>
      <w:rFonts w:cs="Times New Roman"/>
      <w:szCs w:val="22"/>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next w:val="1"/>
    <w:qFormat/>
    <w:uiPriority w:val="0"/>
    <w:pPr>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paragraph" w:customStyle="1" w:styleId="1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character" w:customStyle="1" w:styleId="13">
    <w:name w:val="font21"/>
    <w:basedOn w:val="10"/>
    <w:qFormat/>
    <w:uiPriority w:val="0"/>
    <w:rPr>
      <w:rFonts w:hint="eastAsia" w:ascii="宋体" w:hAnsi="宋体" w:eastAsia="宋体" w:cs="宋体"/>
      <w:color w:val="000000"/>
      <w:sz w:val="20"/>
      <w:szCs w:val="20"/>
      <w:u w:val="none"/>
    </w:rPr>
  </w:style>
  <w:style w:type="character" w:customStyle="1" w:styleId="14">
    <w:name w:val="font01"/>
    <w:basedOn w:val="10"/>
    <w:qFormat/>
    <w:uiPriority w:val="0"/>
    <w:rPr>
      <w:rFonts w:hint="eastAsia" w:ascii="宋体" w:hAnsi="宋体" w:eastAsia="宋体" w:cs="宋体"/>
      <w:b/>
      <w:color w:val="000000"/>
      <w:sz w:val="20"/>
      <w:szCs w:val="20"/>
      <w:u w:val="none"/>
    </w:rPr>
  </w:style>
  <w:style w:type="character" w:customStyle="1" w:styleId="15">
    <w:name w:val="font51"/>
    <w:basedOn w:val="10"/>
    <w:qFormat/>
    <w:uiPriority w:val="0"/>
    <w:rPr>
      <w:rFonts w:hint="eastAsia" w:ascii="宋体" w:hAnsi="宋体" w:eastAsia="宋体" w:cs="宋体"/>
      <w:color w:val="FF0000"/>
      <w:sz w:val="22"/>
      <w:szCs w:val="22"/>
      <w:u w:val="none"/>
    </w:rPr>
  </w:style>
  <w:style w:type="character" w:customStyle="1" w:styleId="16">
    <w:name w:val="font11"/>
    <w:basedOn w:val="10"/>
    <w:qFormat/>
    <w:uiPriority w:val="0"/>
    <w:rPr>
      <w:rFonts w:hint="eastAsia" w:ascii="宋体" w:hAnsi="宋体" w:eastAsia="宋体" w:cs="宋体"/>
      <w:color w:val="000000"/>
      <w:sz w:val="22"/>
      <w:szCs w:val="22"/>
      <w:u w:val="none"/>
    </w:rPr>
  </w:style>
  <w:style w:type="paragraph" w:customStyle="1" w:styleId="17">
    <w:name w:val="公文_发文机关标志"/>
    <w:basedOn w:val="1"/>
    <w:qFormat/>
    <w:uiPriority w:val="0"/>
    <w:pPr>
      <w:widowControl/>
      <w:jc w:val="center"/>
    </w:pPr>
    <w:rPr>
      <w:rFonts w:ascii="方正小标宋简体" w:hAnsi="Times New Roman" w:eastAsia="方正小标宋简体"/>
      <w:color w:val="FF0000"/>
      <w:sz w:val="72"/>
      <w:szCs w:val="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20858</Words>
  <Characters>21348</Characters>
  <Lines>167</Lines>
  <Paragraphs>47</Paragraphs>
  <TotalTime>7</TotalTime>
  <ScaleCrop>false</ScaleCrop>
  <LinksUpToDate>false</LinksUpToDate>
  <CharactersWithSpaces>22012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2019-12-11T06:30:00Z</dcterms:created>
  <dc:creator>=。。。</dc:creator>
  <cp:lastModifiedBy>Administrator</cp:lastModifiedBy>
  <cp:lastPrinted>2022-08-23T09:12:00Z</cp:lastPrinted>
  <dcterms:modified xsi:type="dcterms:W3CDTF">2022-09-29T08:08:30Z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25573463DB994DD49B0BA434B746F9EF</vt:lpwstr>
  </property>
</Properties>
</file>