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91" w:type="dxa"/>
        <w:tblInd w:w="-5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963"/>
        <w:gridCol w:w="1074"/>
        <w:gridCol w:w="1460"/>
        <w:gridCol w:w="1115"/>
        <w:gridCol w:w="831"/>
        <w:gridCol w:w="1277"/>
        <w:gridCol w:w="1216"/>
        <w:gridCol w:w="13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1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凤冈县委国企党工委2022年上半年公开招聘职位表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需求单位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岗位类别（技术/管理）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需求岗位名称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投公司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一级劳务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产业管理人员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林业类相关专业，非专业人员需具有2年以上工作经验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合同制      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产业管理人员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大专以以上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林业类相关专业，具有中级及以上职称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年龄放宽到40周岁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金控集团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合同制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副园长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幼儿教育专业，具有幼儿教师资格证；             2、具有3年以上工作经验；                    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曾被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评为优秀教师或获得过教学技能竞赛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一、二、三等奖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，每项分别按获表彰级别单独加分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0.8、0.6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曾被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市级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评为优秀教师或获得过教学技能竞赛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一、二、三等奖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，每项分别按获表彰级别单独加分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0.8、0.6、0.4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曾被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市级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评为优秀教师或获得过教学技能竞赛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一、二、三等奖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，每项分别按获表彰级别单独加分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0.6、0.4、0.2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参加专业技能培训并有相应证书每项加0.2分，最高加1分。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4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保教主任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  <w:t>后勤主任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一级劳务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中专及以上学历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幼儿教育专业，具有幼儿教师资格证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二级劳务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高中、中专及以上学历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保育资格培训证与育婴师资格证优先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报名后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不参与笔试、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由金控集团组织统一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面试，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按面试成绩由高到低进入试岗环节。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纵横贸易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二级劳务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电商工作人员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全日制大专及以上学历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艺术设计等相关专业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县委国企党工委财务部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一级劳务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全日制大专及以上学历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县委国企党工委财务部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一级劳务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税务人员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全日制大专及以上学历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税务专业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县委国企党工委融资部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一级劳务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日制大专及以上学历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专业不限，财务专业优先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县委国企党工委债务办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一级劳务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日制大专及以上学历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经济学、管理学相关专业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限本县户籍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58A013"/>
    <w:multiLevelType w:val="singleLevel"/>
    <w:tmpl w:val="C258A0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1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2022-05-20T07:24:36Z</dcterms:created>
  <dc:creator>Administrator</dc:creator>
  <cp:lastModifiedBy>Administrator</cp:lastModifiedBy>
  <dcterms:modified xsi:type="dcterms:W3CDTF">2022-05-20T07:24:50Z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