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方正小标宋简体" w:eastAsia="仿宋_GB2312" w:cs="方正小标宋简体"/>
          <w:color w:val="000000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color w:val="000000"/>
        </w:rPr>
        <w:t>附件1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毕节市旅游集团织金洞公司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面向社会公开招聘工作人员职位表</w:t>
      </w:r>
    </w:p>
    <w:bookmarkEnd w:id="0"/>
    <w:tbl>
      <w:tblPr>
        <w:tblStyle w:val="2"/>
        <w:tblpPr w:leftFromText="180" w:rightFromText="180" w:vertAnchor="text" w:horzAnchor="page" w:tblpX="205" w:tblpY="522"/>
        <w:tblOverlap w:val="never"/>
        <w:tblW w:w="11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775"/>
        <w:gridCol w:w="808"/>
        <w:gridCol w:w="2709"/>
        <w:gridCol w:w="455"/>
        <w:gridCol w:w="512"/>
        <w:gridCol w:w="1149"/>
        <w:gridCol w:w="982"/>
        <w:gridCol w:w="2197"/>
        <w:gridCol w:w="15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乌江源旅游航运管理部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职位  名称</w:t>
            </w:r>
          </w:p>
        </w:tc>
        <w:tc>
          <w:tcPr>
            <w:tcW w:w="2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岗位职责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6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资格条件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水路安全员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负责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织金洞公司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东风湖库区客船运输安全工作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无学历限制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专业不限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持有市航务或安监部门颁发的合格证件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（船员服务簿、船员适任证书）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2.具备游泳及水上救援技能，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有水上交通工作经验优先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退伍军人可以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适当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放宽资格条件。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周岁（含）以下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持有市航务或安监部门颁发的合格证件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（船员服务簿、船员适任证书）的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bidi="ar"/>
              </w:rPr>
              <w:t>可以放宽年龄条件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</w:tr>
    </w:tbl>
    <w:p>
      <w:pPr>
        <w:spacing w:line="54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1BB3"/>
    <w:rsid w:val="4EF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2019-09-17T06:40:00Z</dcterms:created>
  <dc:creator>-h99-</dc:creator>
  <cp:lastModifiedBy>-h99-</cp:lastModifiedBy>
  <dcterms:modified xsi:type="dcterms:W3CDTF">2019-09-17T06:40:45Z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