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贵州健康码</w:t>
      </w:r>
    </w:p>
    <w:p>
      <w:r>
        <w:rPr>
          <w:rFonts w:hint="eastAsia"/>
          <w:b/>
          <w:color w:val="000000"/>
          <w:sz w:val="44"/>
          <w:szCs w:val="44"/>
          <w:lang w:eastAsia="zh-CN"/>
        </w:rPr>
        <w:drawing>
          <wp:inline distT="0" distB="0" distL="114300" distR="114300">
            <wp:extent cx="5274310" cy="6795770"/>
            <wp:effectExtent l="0" t="0" r="2540" b="5080"/>
            <wp:docPr id="2" name="图片 2" descr="X~U]PKB[T)M~I[RN~6D$T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X~U]PKB[T)M~I[RN~6D$TX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9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83037"/>
    <w:rsid w:val="7178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2020-07-06T02:56:00Z</dcterms:created>
  <dc:creator>熟悉的乡下人</dc:creator>
  <cp:lastModifiedBy>熟悉的乡下人</cp:lastModifiedBy>
  <dcterms:modified xsi:type="dcterms:W3CDTF">2020-07-06T02:58:33Z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