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00" w:leftChars="-200" w:firstLine="332" w:firstLineChars="138"/>
        <w:jc w:val="left"/>
        <w:rPr>
          <w:rFonts w:hint="default" w:asci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eastAsia="宋体"/>
          <w:b/>
          <w:sz w:val="24"/>
          <w:szCs w:val="24"/>
          <w:lang w:val="en-US" w:eastAsia="zh-CN"/>
        </w:rPr>
        <w:t>附件2</w:t>
      </w:r>
    </w:p>
    <w:p>
      <w:pPr>
        <w:ind w:left="-600" w:leftChars="-200" w:firstLine="610" w:firstLineChars="138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面试人员面试须知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一、面试人员面试当日08：00起凭本次面试准考证、本人第二代有效《</w:t>
      </w:r>
      <w:bookmarkStart w:id="0" w:name="_GoBack"/>
      <w:bookmarkEnd w:id="0"/>
      <w:r>
        <w:rPr>
          <w:rFonts w:hint="eastAsia" w:ascii="仿宋_GB2312"/>
          <w:szCs w:val="30"/>
        </w:rPr>
        <w:t>居民身份证》（含有效临时身份证）原件进入候考室，08：30仍未到达指定候考室的面试人员视为自动弃权，责任自负。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二、面试人员进入候考室后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五、面试中，认真理解和回答主考官提出的问题，注意掌握回答问题的节奏和时间。回答完每道题后，应说“回答完毕”。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六、每一位面试人员面试结束后，应按考场工作人员的安排到指定地点等候，待听取面试成绩后即离开考点。</w:t>
      </w:r>
    </w:p>
    <w:p>
      <w:pPr>
        <w:spacing w:line="52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七、自觉遵守考试纪律，尊重考官和考务工作人员，服从考务工作人员指挥和安排，保持候考室清洁卫生。如有违纪违规行为，按《考试违纪违规行为处理办法》《贵州省人事考试违规违纪行为处理暂行规定》《中华人民共和国刑法修正案（九）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CB"/>
    <w:rsid w:val="005358CB"/>
    <w:rsid w:val="00EB6664"/>
    <w:rsid w:val="273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189</TotalTime>
  <ScaleCrop>false</ScaleCrop>
  <LinksUpToDate>false</LinksUpToDate>
  <CharactersWithSpaces>588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2020-11-03T03:34:00Z</dcterms:created>
  <dc:creator>xb21cn</dc:creator>
  <cp:lastModifiedBy>Pluto＇</cp:lastModifiedBy>
  <cp:lastPrinted>2020-11-03T03:36:00Z</cp:lastPrinted>
  <dcterms:modified xsi:type="dcterms:W3CDTF">2020-11-05T03:48:16Z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