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2：</w:t>
      </w:r>
      <w:bookmarkStart w:id="0" w:name="_GoBack"/>
      <w:bookmarkEnd w:id="0"/>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健康体检受检者个人流行病学调查承诺书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(以下内容为必填内容,但不仅限于此</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lang w:eastAsia="zh-CN"/>
        </w:rPr>
        <w:t>”画“</w:t>
      </w:r>
      <w:r>
        <w:rPr>
          <w:rFonts w:hint="default" w:ascii="Arial" w:hAnsi="Arial" w:eastAsia="仿宋_GB2312" w:cs="Arial"/>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若有一项阳性,则暂缓体检)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1)受检者是否愿意如实汇报下述情况?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否(否为阳性)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(2)个人是否了解根据传染病防治法,若故意瞒报、漏报会涉嫌违法,可能受到法律的严惩?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否(否为阳性)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(3)受检者本人、平时有密切接触的亲属或者室友是否为新型冠状病毒肺炎确诊病例或无症状感染者?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是(是为阳性)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(4)受检者本人及同居一所的亲属或者室友在14天内是否有新型冠状病毒肺炎确诊病例或无症状感染者接触史?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20"/>
          <w:sz w:val="32"/>
          <w:szCs w:val="32"/>
        </w:rPr>
        <w:t>受检者本人近14天内是否有发热、咽痛、咳嗽等呼吸道症状史?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(6)受检者本人近14天内是否到过中、高风险地区及周边地区,是否有在病例报告社区或境外的旅居史?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(7)受检者本人近14天内是否与有境外旅居史同时伴有发热或呼吸道症状者有接触史?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z w:val="32"/>
          <w:szCs w:val="32"/>
        </w:rPr>
        <w:t>(8)是否存在聚集性发病的情况,即14天内在小范围,如家庭、</w:t>
      </w:r>
      <w:r>
        <w:rPr>
          <w:rFonts w:hint="eastAsia" w:ascii="仿宋_GB2312" w:hAnsi="仿宋_GB2312" w:eastAsia="仿宋_GB2312" w:cs="仿宋_GB2312"/>
          <w:spacing w:val="-16"/>
          <w:sz w:val="32"/>
          <w:szCs w:val="32"/>
        </w:rPr>
        <w:t>办公室、学校班级出现2例以上发热和(或)呼吸道症状的病例?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619D3"/>
    <w:rsid w:val="62D6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2021-01-08T06:56:00Z</dcterms:created>
  <dc:creator>Administrator</dc:creator>
  <cp:lastModifiedBy>Administrator</cp:lastModifiedBy>
  <dcterms:modified xsi:type="dcterms:W3CDTF">2021-01-08T06:58:59Z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