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0" w:lineRule="atLeast"/>
        <w:ind w:firstLine="0"/>
        <w:jc w:val="center"/>
        <w:rPr>
          <w:rFonts w:ascii="仿宋_GB2312" w:hAnsi="仿宋_GB2312" w:eastAsia="仿宋_GB2312" w:cs="仿宋_GB2312"/>
          <w:b/>
          <w:sz w:val="36"/>
          <w:szCs w:val="36"/>
          <w:lang w:val="en-US" w:eastAsia="zh-CN" w:bidi="ar-SA"/>
        </w:rPr>
      </w:pPr>
      <w:r>
        <w:rPr>
          <w:rFonts w:hint="eastAsia" w:ascii="仿宋_GB2312" w:hAnsi="仿宋_GB2312" w:eastAsia="仿宋_GB2312" w:cs="仿宋_GB2312"/>
          <w:b/>
          <w:sz w:val="36"/>
          <w:szCs w:val="36"/>
          <w:lang w:val="en-US" w:eastAsia="zh-CN" w:bidi="ar-SA"/>
        </w:rPr>
        <w:t>毕节医学高等专科学校2021年第二批次人才引进</w:t>
      </w:r>
    </w:p>
    <w:p>
      <w:pPr>
        <w:pStyle w:val="12"/>
        <w:spacing w:line="0" w:lineRule="atLeast"/>
        <w:ind w:firstLine="0"/>
        <w:jc w:val="center"/>
        <w:rPr>
          <w:rFonts w:ascii="仿宋_GB2312" w:hAnsi="仿宋_GB2312" w:eastAsia="仿宋_GB2312" w:cs="仿宋_GB2312"/>
          <w:b/>
          <w:sz w:val="36"/>
          <w:szCs w:val="36"/>
          <w:lang w:val="en-US" w:eastAsia="zh-CN" w:bidi="ar-SA"/>
        </w:rPr>
      </w:pPr>
      <w:r>
        <w:rPr>
          <w:rFonts w:hint="eastAsia" w:ascii="仿宋_GB2312" w:hAnsi="仿宋_GB2312" w:eastAsia="仿宋_GB2312" w:cs="仿宋_GB2312"/>
          <w:b/>
          <w:sz w:val="36"/>
          <w:szCs w:val="36"/>
          <w:lang w:val="en-US" w:eastAsia="zh-CN" w:bidi="ar-SA"/>
        </w:rPr>
        <w:t>新冠疫情防控方案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为做好毕节医学高等专科学校</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第二批</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人才引进期间新冠肺炎疫情防控工作，根据国务院、省、市应对新冠肺炎疫情防控领导小组近期发布的新冠肺炎疫情防控工作有关要求，确保毕节医学高等专科学校</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第二批</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人才引进期间</w:t>
      </w:r>
      <w:r>
        <w:rPr>
          <w:rFonts w:ascii="仿宋_GB2312" w:hAnsi="仿宋_GB2312" w:eastAsia="仿宋_GB2312" w:cs="仿宋_GB2312"/>
          <w:sz w:val="32"/>
          <w:szCs w:val="32"/>
        </w:rPr>
        <w:t>疫情防控</w:t>
      </w:r>
      <w:r>
        <w:rPr>
          <w:rFonts w:hint="eastAsia" w:ascii="仿宋_GB2312" w:hAnsi="仿宋_GB2312" w:eastAsia="仿宋_GB2312" w:cs="仿宋_GB2312"/>
          <w:sz w:val="32"/>
          <w:szCs w:val="32"/>
        </w:rPr>
        <w:t>责任压实到人、措施落实</w:t>
      </w:r>
      <w:r>
        <w:rPr>
          <w:rFonts w:ascii="仿宋_GB2312" w:hAnsi="仿宋_GB2312" w:eastAsia="仿宋_GB2312" w:cs="仿宋_GB2312"/>
          <w:sz w:val="32"/>
          <w:szCs w:val="32"/>
        </w:rPr>
        <w:t>到位，特制</w:t>
      </w:r>
      <w:r>
        <w:rPr>
          <w:rFonts w:hint="eastAsia" w:ascii="仿宋_GB2312" w:hAnsi="仿宋_GB2312" w:eastAsia="仿宋_GB2312" w:cs="仿宋_GB2312"/>
          <w:sz w:val="32"/>
          <w:szCs w:val="32"/>
        </w:rPr>
        <w:t>定本方案</w:t>
      </w:r>
      <w:r>
        <w:rPr>
          <w:rFonts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执行党中央国务院决策部署和省委省政府、市委市政府工作要求，切实落实好常态化疫情防控工作，在抓紧抓实抓细常态化疫情防控各项工作同时，认真组织好毕节医学高等专科学校</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第二批</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人才引进期间疫情防控工作，</w:t>
      </w:r>
      <w:r>
        <w:rPr>
          <w:rFonts w:hint="eastAsia" w:ascii="仿宋_GB2312" w:hAnsi="仿宋_GB2312" w:eastAsia="仿宋_GB2312" w:cs="仿宋_GB2312"/>
          <w:color w:val="000000" w:themeColor="text1"/>
          <w:sz w:val="32"/>
          <w:szCs w:val="32"/>
          <w14:textFill>
            <w14:solidFill>
              <w14:schemeClr w14:val="tx1"/>
            </w14:solidFill>
          </w14:textFill>
        </w:rPr>
        <w:t>如遇疫情防控突发紧急情况，考试根据实际情况予以延期。</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二、工作措施</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谁组织、</w:t>
      </w:r>
      <w:r>
        <w:rPr>
          <w:rFonts w:ascii="仿宋_GB2312" w:hAnsi="仿宋_GB2312" w:eastAsia="仿宋_GB2312" w:cs="仿宋_GB2312"/>
          <w:sz w:val="32"/>
          <w:szCs w:val="32"/>
        </w:rPr>
        <w:t>谁负责</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谁</w:t>
      </w:r>
      <w:r>
        <w:rPr>
          <w:rFonts w:hint="eastAsia" w:ascii="仿宋_GB2312" w:hAnsi="仿宋_GB2312" w:eastAsia="仿宋_GB2312" w:cs="仿宋_GB2312"/>
          <w:sz w:val="32"/>
          <w:szCs w:val="32"/>
        </w:rPr>
        <w:t>举办</w:t>
      </w:r>
      <w:r>
        <w:rPr>
          <w:rFonts w:ascii="仿宋_GB2312" w:hAnsi="仿宋_GB2312" w:eastAsia="仿宋_GB2312" w:cs="仿宋_GB2312"/>
          <w:sz w:val="32"/>
          <w:szCs w:val="32"/>
        </w:rPr>
        <w:t>、谁</w:t>
      </w: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”的原则，严格落实考生、考务工作人员健康管理主体责任</w:t>
      </w:r>
      <w:r>
        <w:rPr>
          <w:rFonts w:hint="eastAsia" w:ascii="仿宋_GB2312" w:hAnsi="仿宋_GB2312" w:eastAsia="仿宋_GB2312" w:cs="仿宋_GB2312"/>
          <w:sz w:val="32"/>
          <w:szCs w:val="32"/>
        </w:rPr>
        <w:t>，安全有序组织好考务工作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参加考试考生</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人，考务工作人员90人，合计12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对考生、考务工作人员开展健康监测等工作，做到应查尽查、不漏一人。健康筛查不合格者不得参</w:t>
      </w:r>
      <w:r>
        <w:rPr>
          <w:rFonts w:hint="eastAsia" w:ascii="仿宋_GB2312" w:hAnsi="仿宋_GB2312" w:eastAsia="仿宋_GB2312" w:cs="仿宋_GB2312"/>
          <w:sz w:val="32"/>
          <w:szCs w:val="32"/>
        </w:rPr>
        <w:t>加毕节医学高等专科学校</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第二批</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人才引进考试</w:t>
      </w:r>
      <w:r>
        <w:rPr>
          <w:rFonts w:ascii="仿宋_GB2312" w:hAnsi="仿宋_GB2312" w:eastAsia="仿宋_GB2312" w:cs="仿宋_GB2312"/>
          <w:sz w:val="32"/>
          <w:szCs w:val="32"/>
        </w:rPr>
        <w:t>和考务工作。</w:t>
      </w:r>
    </w:p>
    <w:p>
      <w:pPr>
        <w:adjustRightInd w:val="0"/>
        <w:snapToGrid w:val="0"/>
        <w:spacing w:line="54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（一）考试工作前疫情防控要求</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1.不能参加考试的人员和考务工作人员</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（1）考试前28天内中、高风险地区返回人员、境外返回人员。</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考试前14天内有本土阳性感染者报告市（州）低风险地区返回人员原则上不能参加考试，确须参加的（仅针对考生），考试当日须有“三天两检”核酸检测阴性证明。有本土阳性感染者报告市（州）低风险地区旅居史人员不能参加考务工作。</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三天两检”是指返回人员需持48小时内有效新冠病毒核酸检测阴性证明及抵毕后在交通接驳点或隔离点的1次核酸检测阴性证明；未持有相关证明的在抵毕后要立即在交通接驳点或隔离点开展1次核酸检测，结果未出前不得流动，阴性后点对点返回居住地，不得乘坐公共交通；间隔24小时后到就近采样点进行检测核酸，除前往采样点外不能外出，前往采样点途中做好个人防护、不得乘坐公共交通，第二次核酸阴性后方可有序流动。</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（3）仍处于康复或隔离期的确诊病例、无症状感染者。</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（4）仍处于医学隔离期或观察期的密切接触者和次密切接触者。</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（5）与阳性感染者同乘交通工具或活动轨迹有交集的人员</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（6）自接到通知起，如有出现体温高于37.3℃、乏力、咳嗽、腹泻、呕吐、嗅觉或味觉减退等症状，未排除传染病的人员。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2.考试前健康监测</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所有参加考试人员、考务工作人员自接到工作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考试和考务工作。</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3.流行病学史排查</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所有参加考试人员及工作人员在报到前，须完成“三史”（即旅居史、接触史、发热史）的申报，如实填写《个人防疫情况申报表》（见附件），《个人防疫情况申报表》须在报到时全部审核完毕，审核不合格人员原则上不再参加考试及考务工作。</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所有参加考试人员及工作人员进入考场前，须进行“贵州健康码”、“通信大数据行程卡”和“疫苗接种标识”（以下简称“三码”）扫码核验及体温检测，扫码合格、体温低于37.3℃者及《个人防疫情况申报合格者》方能进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4.核酸检测</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参加面试人员和考务工作人员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（2）面试前14天内有省外无本土病例报告市（州）旅居史的来（返）毕人员，须持有48小时内核酸检测阴性证明。</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5.考试前疫苗接种</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（1）所有参加考试人员、考务工作人员等，符合接种条件的须在考试前进行新冠病毒疫苗全程接种，落实“应接尽接”，尚未完成接种的适龄无禁忌症人员，原则上不安排参加面试及考务工作。</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（2）确有禁忌症未接种人员须提供新冠病毒疫苗接种禁忌症评估定点医院出具的加盖医院公章或医院授权的科室诊断书专用章的《新冠病毒疫苗接种禁忌症评估表》。</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6.日常防护措施</w:t>
      </w:r>
    </w:p>
    <w:p>
      <w:pPr>
        <w:adjustRightInd w:val="0"/>
        <w:snapToGrid w:val="0"/>
        <w:spacing w:line="520" w:lineRule="exact"/>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所有参加考试考生及工作人员乘坐公共交通工具前往考场途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spacing w:line="560" w:lineRule="exact"/>
        <w:ind w:left="-142" w:firstLine="800" w:firstLineChars="250"/>
        <w:rPr>
          <w:rFonts w:ascii="黑体" w:hAnsi="黑体" w:eastAsia="黑体" w:cs="黑体"/>
          <w:kern w:val="0"/>
          <w:sz w:val="32"/>
          <w:szCs w:val="32"/>
        </w:rPr>
      </w:pPr>
      <w:r>
        <w:rPr>
          <w:rFonts w:hint="eastAsia" w:ascii="黑体" w:hAnsi="黑体" w:eastAsia="黑体" w:cs="黑体"/>
          <w:kern w:val="0"/>
          <w:sz w:val="32"/>
          <w:szCs w:val="32"/>
        </w:rPr>
        <w:t>三、考生管理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（一）所有考生应根据当前防控要求做好相应准备，确保</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（含体检，下同）当天能顺利参加，因不符合防控要求不能参加</w:t>
      </w:r>
      <w:r>
        <w:rPr>
          <w:rFonts w:hint="eastAsia" w:ascii="Times New Roman" w:hAnsi="Times New Roman" w:eastAsia="仿宋_GB2312" w:cs="Times New Roman"/>
          <w:sz w:val="32"/>
          <w:szCs w:val="32"/>
        </w:rPr>
        <w:t>毕节医学高等专科学校</w:t>
      </w: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rPr>
        <w:t>第二批</w:t>
      </w:r>
      <w:r>
        <w:rPr>
          <w:rFonts w:hint="eastAsia"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rPr>
        <w:t>人才引进</w:t>
      </w:r>
      <w:r>
        <w:rPr>
          <w:rFonts w:ascii="Times New Roman" w:hAnsi="Times New Roman" w:eastAsia="仿宋_GB2312" w:cs="Times New Roman"/>
          <w:sz w:val="32"/>
          <w:szCs w:val="32"/>
        </w:rPr>
        <w:t>的考生自行承担后果。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考生在</w:t>
      </w:r>
      <w:r>
        <w:rPr>
          <w:rFonts w:hint="eastAsia" w:ascii="Times New Roman" w:hAnsi="Times New Roman" w:eastAsia="仿宋_GB2312" w:cs="Times New Roman"/>
          <w:sz w:val="32"/>
          <w:szCs w:val="32"/>
        </w:rPr>
        <w:t>2021年12月4日上午7：</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0分</w:t>
      </w:r>
      <w:r>
        <w:rPr>
          <w:rFonts w:ascii="Times New Roman" w:hAnsi="Times New Roman" w:eastAsia="仿宋_GB2312" w:cs="Times New Roman"/>
          <w:sz w:val="32"/>
          <w:szCs w:val="32"/>
        </w:rPr>
        <w:t>开始接受检测进入考点，</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凭《准考证》、第二代有效《居民身份证》原件进入候考室，</w:t>
      </w:r>
      <w:r>
        <w:rPr>
          <w:rFonts w:hint="eastAsia" w:ascii="Times New Roman" w:hAnsi="Times New Roman" w:eastAsia="仿宋_GB2312" w:cs="Times New Roman"/>
          <w:sz w:val="32"/>
          <w:szCs w:val="32"/>
        </w:rPr>
        <w:t>开考后30分钟</w:t>
      </w:r>
      <w:r>
        <w:rPr>
          <w:rFonts w:ascii="Times New Roman" w:hAnsi="Times New Roman" w:eastAsia="仿宋_GB2312" w:cs="Times New Roman"/>
          <w:sz w:val="32"/>
          <w:szCs w:val="32"/>
        </w:rPr>
        <w:t>仍未到达指定考室的</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视为自动弃权，责任自负。考生应尽早到达考点，在考点入场检测处，要提前调出当天本人“</w:t>
      </w:r>
      <w:r>
        <w:rPr>
          <w:rFonts w:hint="eastAsia" w:ascii="Times New Roman" w:hAnsi="Times New Roman" w:eastAsia="仿宋_GB2312" w:cs="Times New Roman"/>
          <w:sz w:val="32"/>
          <w:szCs w:val="32"/>
        </w:rPr>
        <w:t>三码</w:t>
      </w:r>
      <w:r>
        <w:rPr>
          <w:rFonts w:ascii="Times New Roman" w:hAnsi="Times New Roman" w:eastAsia="仿宋_GB2312" w:cs="Times New Roman"/>
          <w:sz w:val="32"/>
          <w:szCs w:val="32"/>
        </w:rPr>
        <w:t>”，做好入场扫码和体温检测准备，确保入场时间充足、秩序良好。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结束，考生要按指令有序离场，不得拥挤扎堆，保持适当安全距离。废弃口罩应自行带走或扔到指定垃圾桶，不得随意丢弃。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（四）考生须严格遵守贵州省新冠肺炎常态化防控相关要求，因不遵守疫情防控规定造成的一切后果由考生自负。</w:t>
      </w:r>
    </w:p>
    <w:p>
      <w:pPr>
        <w:spacing w:line="560" w:lineRule="exact"/>
        <w:ind w:left="-142"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四、应急管理</w:t>
      </w:r>
    </w:p>
    <w:p>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（一）入场监测时有关情况处置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rPr>
        <w:t>三码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扫码不合格</w:t>
      </w:r>
      <w:r>
        <w:rPr>
          <w:rFonts w:ascii="Times New Roman" w:hAnsi="Times New Roman" w:eastAsia="仿宋_GB2312" w:cs="Times New Roman"/>
          <w:sz w:val="32"/>
          <w:szCs w:val="32"/>
        </w:rPr>
        <w:t>的，禁止进入考点，由现场工作</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安排在就近隔离检查点隔离，并立即报卫生健康部门按要求处理。涉及为工作人员的及时予以替换，涉及为考生的，须考生本人签字确认，视为放弃</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资格。考生拒绝签字的，须由现场2名以上处置人员共同签字确认。</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rPr>
        <w:t>三码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扫码合格</w:t>
      </w:r>
      <w:r>
        <w:rPr>
          <w:rFonts w:ascii="Times New Roman" w:hAnsi="Times New Roman" w:eastAsia="仿宋_GB2312" w:cs="Times New Roman"/>
          <w:sz w:val="32"/>
          <w:szCs w:val="32"/>
        </w:rPr>
        <w:t>，但因体温异常等可疑症状的，由现场工作人员进行评估并处置。经现场</w:t>
      </w:r>
      <w:r>
        <w:rPr>
          <w:rFonts w:hint="eastAsia" w:ascii="Times New Roman" w:hAnsi="Times New Roman" w:eastAsia="仿宋_GB2312" w:cs="Times New Roman"/>
          <w:sz w:val="32"/>
          <w:szCs w:val="32"/>
        </w:rPr>
        <w:t>医务</w:t>
      </w:r>
      <w:r>
        <w:rPr>
          <w:rFonts w:ascii="Times New Roman" w:hAnsi="Times New Roman" w:eastAsia="仿宋_GB2312" w:cs="Times New Roman"/>
          <w:sz w:val="32"/>
          <w:szCs w:val="32"/>
        </w:rPr>
        <w:t>人员评估不能参加</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的，涉及为工作人员的及时予以替换，涉及为考生的，须考生本人签字确认，视为放弃</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资格。考生不认可现场工作人员评估，由现场2名工作人员陪同到就近医院进行评估，评估为不能参加</w:t>
      </w:r>
      <w:r>
        <w:rPr>
          <w:rFonts w:hint="eastAsia" w:ascii="Times New Roman" w:hAnsi="Times New Roman" w:eastAsia="仿宋_GB2312" w:cs="Times New Roman"/>
          <w:sz w:val="32"/>
          <w:szCs w:val="32"/>
        </w:rPr>
        <w:t>考试的</w:t>
      </w:r>
      <w:r>
        <w:rPr>
          <w:rFonts w:ascii="Times New Roman" w:hAnsi="Times New Roman" w:eastAsia="仿宋_GB2312" w:cs="Times New Roman"/>
          <w:sz w:val="32"/>
          <w:szCs w:val="32"/>
        </w:rPr>
        <w:t>，考生仍拒绝签字的，由现场2名以上处置人员共同签字确认。</w:t>
      </w:r>
    </w:p>
    <w:p>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考试</w:t>
      </w:r>
      <w:r>
        <w:rPr>
          <w:rFonts w:ascii="Times New Roman" w:hAnsi="Times New Roman" w:eastAsia="楷体_GB2312" w:cs="Times New Roman"/>
          <w:bCs/>
          <w:sz w:val="32"/>
          <w:szCs w:val="32"/>
        </w:rPr>
        <w:t>过程中有关情况处理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的，须考生本人签字确认，视为放弃</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资格，考生拒绝签字的，须由现场2名以上处置人员共同签字确认；经相关医务人员评估可以继续</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的，应安排在备用候考室等待</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安排。</w:t>
      </w:r>
    </w:p>
    <w:p>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（三）其他紧急情况处置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1.考点考场出现经相关医务人员评估后被终止</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或移至备用隔离考场的考生，现场工作人员要根据实际情况对现场其它考生做好解释工作。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2.考场出现经相关医务人员评估被终止</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或移至备用隔离考场的考生，须协助卫生健康部门按防疫要求做好相关人员的追踪管理。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3.如出现考生或工作人员被诊断为确诊或疑似病例的，</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协助卫生健康部门按相关疫情防控处置要求做好人员排查、环境消毒等疫情防控工作。</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、工作保障</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（一）加强组织领导</w:t>
      </w:r>
    </w:p>
    <w:p>
      <w:pPr>
        <w:widowControl/>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为有效防控新型冠状病毒传播，保障新冠疫情期间工作顺利进行，成立</w:t>
      </w:r>
      <w:r>
        <w:rPr>
          <w:rFonts w:hint="eastAsia" w:ascii="Times New Roman" w:hAnsi="Times New Roman" w:eastAsia="仿宋_GB2312" w:cs="Times New Roman"/>
          <w:sz w:val="32"/>
          <w:szCs w:val="32"/>
        </w:rPr>
        <w:t>毕节医学高等专科学校2021年第二批</w:t>
      </w:r>
      <w:r>
        <w:rPr>
          <w:rFonts w:hint="eastAsia"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rPr>
        <w:t>人才引进疫情防控领导小组，具体负责考试期间的疫情防控工作。</w:t>
      </w:r>
    </w:p>
    <w:p>
      <w:pPr>
        <w:widowControl/>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（二）抓好防控责任落实</w:t>
      </w:r>
    </w:p>
    <w:p>
      <w:pPr>
        <w:widowControl/>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widowControl/>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2.做好物资保障。提前储备好疫情防控所需防护用品、消毒用品、洗涤用品、口罩、测温仪等物资，确保考务工作正常开展。</w:t>
      </w:r>
    </w:p>
    <w:p>
      <w:pPr>
        <w:widowControl/>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3.做好考生服务。做好考生防控答疑服务，及时科学准确给予考生防控有关问题解答。</w:t>
      </w:r>
    </w:p>
    <w:p>
      <w:pPr>
        <w:widowControl/>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4.落实沟通协调。落实疫情防控各项工作措施，做好考场突发事件的应急处置工作，保障考务工作安全、平稳、有序进行。</w:t>
      </w:r>
    </w:p>
    <w:p>
      <w:pPr>
        <w:widowControl/>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5.严格落实核酸检测、全程疫苗接种、测温扫码、全程佩戴口罩、培训现场通风消毒和参加培训人员消毒等措施。</w:t>
      </w:r>
    </w:p>
    <w:p>
      <w:pPr>
        <w:widowControl/>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六、其他事项</w:t>
      </w:r>
    </w:p>
    <w:p>
      <w:pPr>
        <w:widowControl/>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本《方案》由毕节医学高等专科学校</w:t>
      </w: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rPr>
        <w:t>第二批</w:t>
      </w:r>
      <w:r>
        <w:rPr>
          <w:rFonts w:hint="eastAsia"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rPr>
        <w:t>人才引进疫情防控领导小组负责解释，未尽事宜由毕节医学高等专科学校第二批人才引进疫情防控领导小组负责完善落实。</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2"/>
        <w:spacing w:line="560" w:lineRule="exact"/>
        <w:rPr>
          <w:rFonts w:ascii="仿宋_GB2312" w:hAnsi="仿宋_GB2312" w:eastAsia="仿宋_GB2312" w:cs="仿宋_GB2312"/>
          <w:sz w:val="32"/>
          <w:szCs w:val="32"/>
        </w:rPr>
      </w:pPr>
    </w:p>
    <w:p>
      <w:pPr>
        <w:spacing w:line="56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毕节医学高等专科学校</w:t>
      </w:r>
    </w:p>
    <w:p>
      <w:pPr>
        <w:spacing w:line="56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2021年11月1</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日</w:t>
      </w:r>
    </w:p>
    <w:p>
      <w:pPr>
        <w:pStyle w:val="9"/>
        <w:ind w:firstLine="0" w:firstLineChars="0"/>
        <w:rPr>
          <w:rFonts w:eastAsia="黑体"/>
          <w:color w:val="000000"/>
          <w:sz w:val="32"/>
          <w:szCs w:val="32"/>
        </w:rPr>
      </w:pPr>
    </w:p>
    <w:p>
      <w:pPr>
        <w:widowControl/>
        <w:jc w:val="left"/>
        <w:rPr>
          <w:rFonts w:eastAsia="黑体"/>
          <w:color w:val="000000"/>
          <w:sz w:val="32"/>
          <w:szCs w:val="32"/>
        </w:rPr>
      </w:pPr>
      <w:r>
        <w:rPr>
          <w:rFonts w:eastAsia="黑体"/>
          <w:color w:val="000000"/>
          <w:sz w:val="32"/>
          <w:szCs w:val="32"/>
        </w:rPr>
        <w:br w:type="page"/>
      </w:r>
    </w:p>
    <w:p>
      <w:pPr>
        <w:pStyle w:val="9"/>
        <w:ind w:firstLine="0" w:firstLineChars="0"/>
        <w:rPr>
          <w:rFonts w:eastAsia="黑体"/>
          <w:color w:val="000000"/>
          <w:sz w:val="32"/>
          <w:szCs w:val="32"/>
        </w:rPr>
      </w:pPr>
      <w:r>
        <w:rPr>
          <w:rFonts w:eastAsia="黑体"/>
          <w:color w:val="000000"/>
          <w:sz w:val="32"/>
          <w:szCs w:val="32"/>
        </w:rPr>
        <w:t>附件</w:t>
      </w:r>
    </w:p>
    <w:p>
      <w:pPr>
        <w:pStyle w:val="9"/>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10"/>
        <w:tblW w:w="5214" w:type="pct"/>
        <w:jc w:val="center"/>
        <w:tblLayout w:type="autofit"/>
        <w:tblCellMar>
          <w:top w:w="0" w:type="dxa"/>
          <w:left w:w="0" w:type="dxa"/>
          <w:bottom w:w="0" w:type="dxa"/>
          <w:right w:w="0" w:type="dxa"/>
        </w:tblCellMar>
      </w:tblPr>
      <w:tblGrid>
        <w:gridCol w:w="1351"/>
        <w:gridCol w:w="1758"/>
        <w:gridCol w:w="1116"/>
        <w:gridCol w:w="2639"/>
        <w:gridCol w:w="885"/>
        <w:gridCol w:w="944"/>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440" w:lineRule="exact"/>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是否有中、高风险地区旅居史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是否为仍处于康复或隔离期的新冠肺炎确诊病例或无症状感染者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是否为仍处于医学隔离期的密切接触者或次密切接触者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是否与来自高、中风险疫情地区人员有密切接触</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密切接触的家属及同事是否有中高风险地区、港台及国外旅居史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是否接种新冠肺炎疫苗，未全程接种的请在空白处备注原因</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adjustRightInd w:val="0"/>
              <w:snapToGrid w:val="0"/>
              <w:spacing w:line="440" w:lineRule="exact"/>
              <w:textAlignment w:val="top"/>
              <w:rPr>
                <w:rFonts w:ascii="黑体" w:hAnsi="黑体" w:eastAsia="黑体" w:cs="黑体"/>
                <w:kern w:val="0"/>
                <w:sz w:val="24"/>
                <w:szCs w:val="28"/>
              </w:rPr>
            </w:pPr>
            <w:r>
              <w:rPr>
                <w:rFonts w:hint="eastAsia" w:ascii="黑体" w:hAnsi="黑体" w:eastAsia="黑体" w:cs="黑体"/>
                <w:kern w:val="0"/>
                <w:sz w:val="24"/>
                <w:szCs w:val="28"/>
              </w:rPr>
              <w:t>本人活动前14天健康状况：健康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adjustRightInd w:val="0"/>
              <w:snapToGrid w:val="0"/>
              <w:spacing w:line="560" w:lineRule="exact"/>
              <w:jc w:val="left"/>
              <w:textAlignment w:val="top"/>
              <w:rPr>
                <w:rFonts w:ascii="黑体" w:hAnsi="黑体" w:eastAsia="黑体" w:cs="黑体"/>
                <w:sz w:val="24"/>
                <w:szCs w:val="32"/>
              </w:rPr>
            </w:pPr>
            <w:r>
              <w:rPr>
                <w:rFonts w:hint="eastAsia" w:ascii="黑体" w:hAnsi="黑体" w:eastAsia="黑体" w:cs="黑体"/>
                <w:sz w:val="24"/>
                <w:szCs w:val="32"/>
              </w:rPr>
              <w:t>其它需要说明的情况：</w:t>
            </w:r>
          </w:p>
          <w:p>
            <w:pPr>
              <w:pStyle w:val="2"/>
            </w:pP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spacing w:before="0" w:after="0" w:line="560" w:lineRule="exact"/>
        <w:rPr>
          <w:rFonts w:ascii="仿宋_GB2312" w:hAnsi="仿宋_GB2312" w:eastAsia="仿宋_GB2312" w:cs="仿宋_GB2312"/>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702B"/>
    <w:rsid w:val="000B6122"/>
    <w:rsid w:val="001714A8"/>
    <w:rsid w:val="002C1593"/>
    <w:rsid w:val="00356095"/>
    <w:rsid w:val="00356856"/>
    <w:rsid w:val="003E1A70"/>
    <w:rsid w:val="004F2591"/>
    <w:rsid w:val="006E362C"/>
    <w:rsid w:val="009923D2"/>
    <w:rsid w:val="00A975DC"/>
    <w:rsid w:val="00C20E46"/>
    <w:rsid w:val="00C85F08"/>
    <w:rsid w:val="00CC562C"/>
    <w:rsid w:val="00D42B17"/>
    <w:rsid w:val="00EF5AB8"/>
    <w:rsid w:val="00F67D7C"/>
    <w:rsid w:val="01371452"/>
    <w:rsid w:val="01A03863"/>
    <w:rsid w:val="037277DE"/>
    <w:rsid w:val="04B36EE7"/>
    <w:rsid w:val="053A0327"/>
    <w:rsid w:val="05585F09"/>
    <w:rsid w:val="05683784"/>
    <w:rsid w:val="057C3BE1"/>
    <w:rsid w:val="05D733E3"/>
    <w:rsid w:val="08517143"/>
    <w:rsid w:val="0913264A"/>
    <w:rsid w:val="0B4708A0"/>
    <w:rsid w:val="0BFB6D72"/>
    <w:rsid w:val="0EEC3250"/>
    <w:rsid w:val="0F135152"/>
    <w:rsid w:val="0F670FFA"/>
    <w:rsid w:val="10F863AD"/>
    <w:rsid w:val="110C1E59"/>
    <w:rsid w:val="113E395D"/>
    <w:rsid w:val="1237082D"/>
    <w:rsid w:val="126D3F7A"/>
    <w:rsid w:val="13117BFA"/>
    <w:rsid w:val="13A761A4"/>
    <w:rsid w:val="13C46A1B"/>
    <w:rsid w:val="142A301C"/>
    <w:rsid w:val="152679E9"/>
    <w:rsid w:val="154F6184"/>
    <w:rsid w:val="156B2145"/>
    <w:rsid w:val="15FF55DC"/>
    <w:rsid w:val="172219D3"/>
    <w:rsid w:val="17705D10"/>
    <w:rsid w:val="17A16B1A"/>
    <w:rsid w:val="17BA0860"/>
    <w:rsid w:val="18CE76ED"/>
    <w:rsid w:val="19B4702B"/>
    <w:rsid w:val="1A094C3F"/>
    <w:rsid w:val="1CFF0AC4"/>
    <w:rsid w:val="1DEF0B38"/>
    <w:rsid w:val="1E196318"/>
    <w:rsid w:val="1EBB357D"/>
    <w:rsid w:val="20232D1B"/>
    <w:rsid w:val="20D97038"/>
    <w:rsid w:val="21CB3B14"/>
    <w:rsid w:val="22445129"/>
    <w:rsid w:val="225244AE"/>
    <w:rsid w:val="22947E0F"/>
    <w:rsid w:val="23CE6292"/>
    <w:rsid w:val="23F61CD8"/>
    <w:rsid w:val="24150AFE"/>
    <w:rsid w:val="24767816"/>
    <w:rsid w:val="26751DF6"/>
    <w:rsid w:val="27BA4278"/>
    <w:rsid w:val="281C4C20"/>
    <w:rsid w:val="289A057B"/>
    <w:rsid w:val="28AD5549"/>
    <w:rsid w:val="29053906"/>
    <w:rsid w:val="2B8E1990"/>
    <w:rsid w:val="2BE912BD"/>
    <w:rsid w:val="2CEB4BC0"/>
    <w:rsid w:val="2D3E1194"/>
    <w:rsid w:val="2F452CAE"/>
    <w:rsid w:val="2FAD3A6E"/>
    <w:rsid w:val="30C166B8"/>
    <w:rsid w:val="31EC59D5"/>
    <w:rsid w:val="32EA169B"/>
    <w:rsid w:val="35C2321A"/>
    <w:rsid w:val="366B661D"/>
    <w:rsid w:val="372E4027"/>
    <w:rsid w:val="37EA7B10"/>
    <w:rsid w:val="38A20015"/>
    <w:rsid w:val="39C72511"/>
    <w:rsid w:val="3D4228CF"/>
    <w:rsid w:val="418A09F4"/>
    <w:rsid w:val="421D53C4"/>
    <w:rsid w:val="428D5931"/>
    <w:rsid w:val="42BE6BA7"/>
    <w:rsid w:val="43964CA1"/>
    <w:rsid w:val="43A93482"/>
    <w:rsid w:val="44F0018B"/>
    <w:rsid w:val="44F02C48"/>
    <w:rsid w:val="45953986"/>
    <w:rsid w:val="45AC34B3"/>
    <w:rsid w:val="46256F3D"/>
    <w:rsid w:val="476D46F8"/>
    <w:rsid w:val="483F6996"/>
    <w:rsid w:val="484F741F"/>
    <w:rsid w:val="48671147"/>
    <w:rsid w:val="48C02904"/>
    <w:rsid w:val="48C84D49"/>
    <w:rsid w:val="499C2029"/>
    <w:rsid w:val="4D070162"/>
    <w:rsid w:val="4D38566C"/>
    <w:rsid w:val="5151508A"/>
    <w:rsid w:val="52683C3F"/>
    <w:rsid w:val="54596C98"/>
    <w:rsid w:val="55101C5F"/>
    <w:rsid w:val="55BA1450"/>
    <w:rsid w:val="55FB3AA0"/>
    <w:rsid w:val="56D24D6C"/>
    <w:rsid w:val="57FB365A"/>
    <w:rsid w:val="59814033"/>
    <w:rsid w:val="5A7F1F4B"/>
    <w:rsid w:val="5A81078E"/>
    <w:rsid w:val="5C2C64D8"/>
    <w:rsid w:val="5CA472BA"/>
    <w:rsid w:val="5F56518C"/>
    <w:rsid w:val="60D109A5"/>
    <w:rsid w:val="62A37F6F"/>
    <w:rsid w:val="64AC1913"/>
    <w:rsid w:val="64F8164D"/>
    <w:rsid w:val="654A2869"/>
    <w:rsid w:val="66D663FE"/>
    <w:rsid w:val="66D75171"/>
    <w:rsid w:val="671C7D11"/>
    <w:rsid w:val="678371C8"/>
    <w:rsid w:val="69940092"/>
    <w:rsid w:val="6A1D3904"/>
    <w:rsid w:val="6A8D6CDC"/>
    <w:rsid w:val="6B6802A2"/>
    <w:rsid w:val="6BA22BEA"/>
    <w:rsid w:val="6C9006C1"/>
    <w:rsid w:val="6C9154F8"/>
    <w:rsid w:val="6D0A2411"/>
    <w:rsid w:val="6F026342"/>
    <w:rsid w:val="6F7B6582"/>
    <w:rsid w:val="722C21AA"/>
    <w:rsid w:val="72A97961"/>
    <w:rsid w:val="731955B0"/>
    <w:rsid w:val="7592164A"/>
    <w:rsid w:val="764A5A81"/>
    <w:rsid w:val="765E0C40"/>
    <w:rsid w:val="76D6263F"/>
    <w:rsid w:val="77104754"/>
    <w:rsid w:val="78CF095E"/>
    <w:rsid w:val="7BE61DA8"/>
    <w:rsid w:val="7C572CA5"/>
    <w:rsid w:val="7DED32D3"/>
    <w:rsid w:val="7E547C49"/>
    <w:rsid w:val="7E617E0B"/>
    <w:rsid w:val="7E8A55B4"/>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513"/>
        <w:tab w:val="right" w:pos="9026"/>
      </w:tabs>
      <w:snapToGrid w:val="0"/>
      <w:jc w:val="center"/>
    </w:pPr>
    <w:rPr>
      <w:sz w:val="18"/>
      <w:szCs w:val="18"/>
    </w:rPr>
  </w:style>
  <w:style w:type="paragraph" w:styleId="7">
    <w:name w:val="Normal (Web)"/>
    <w:basedOn w:val="1"/>
    <w:qFormat/>
    <w:uiPriority w:val="0"/>
    <w:pPr>
      <w:jc w:val="left"/>
    </w:pPr>
    <w:rPr>
      <w:rFonts w:ascii="Calibri" w:hAnsi="Calibri" w:eastAsia="宋体" w:cs="Times New Roman"/>
      <w:kern w:val="0"/>
      <w:sz w:val="24"/>
    </w:rPr>
  </w:style>
  <w:style w:type="paragraph" w:styleId="8">
    <w:name w:val="Title"/>
    <w:basedOn w:val="1"/>
    <w:next w:val="9"/>
    <w:qFormat/>
    <w:uiPriority w:val="0"/>
    <w:pPr>
      <w:spacing w:line="240" w:lineRule="atLeast"/>
      <w:jc w:val="center"/>
    </w:pPr>
    <w:rPr>
      <w:rFonts w:ascii="Cambria" w:hAnsi="Cambria" w:cs="Cambria"/>
      <w:b/>
      <w:bCs/>
      <w:sz w:val="32"/>
      <w:szCs w:val="32"/>
    </w:rPr>
  </w:style>
  <w:style w:type="paragraph" w:customStyle="1" w:styleId="9">
    <w:name w:val="Body Text Indent1"/>
    <w:basedOn w:val="1"/>
    <w:next w:val="1"/>
    <w:qFormat/>
    <w:uiPriority w:val="0"/>
    <w:pPr>
      <w:ind w:firstLine="420" w:firstLineChars="140"/>
    </w:pPr>
    <w:rPr>
      <w:szCs w:val="21"/>
    </w:rPr>
  </w:style>
  <w:style w:type="paragraph" w:customStyle="1" w:styleId="12">
    <w:name w:val="Body text|1"/>
    <w:basedOn w:val="1"/>
    <w:qFormat/>
    <w:uiPriority w:val="0"/>
    <w:pPr>
      <w:spacing w:line="398" w:lineRule="auto"/>
      <w:ind w:firstLine="400"/>
    </w:pPr>
    <w:rPr>
      <w:rFonts w:ascii="宋体" w:hAnsi="宋体" w:eastAsia="宋体" w:cs="宋体"/>
      <w:sz w:val="28"/>
      <w:szCs w:val="28"/>
      <w:lang w:val="zh-TW" w:eastAsia="zh-TW" w:bidi="zh-TW"/>
    </w:rPr>
  </w:style>
  <w:style w:type="character" w:customStyle="1" w:styleId="13">
    <w:name w:val="页眉 Char"/>
    <w:basedOn w:val="11"/>
    <w:link w:val="6"/>
    <w:qFormat/>
    <w:uiPriority w:val="0"/>
    <w:rPr>
      <w:rFonts w:asciiTheme="minorHAnsi" w:hAnsiTheme="minorHAnsi" w:eastAsiaTheme="minorEastAsia" w:cstheme="minorBidi"/>
      <w:kern w:val="2"/>
      <w:sz w:val="18"/>
      <w:szCs w:val="18"/>
    </w:rPr>
  </w:style>
  <w:style w:type="character" w:customStyle="1" w:styleId="14">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656</Words>
  <Characters>3741</Characters>
  <Lines>31</Lines>
  <Paragraphs>8</Paragraphs>
  <TotalTime>44</TotalTime>
  <ScaleCrop>false</ScaleCrop>
  <LinksUpToDate>false</LinksUpToDate>
  <CharactersWithSpaces>4389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2021-11-18T09:08:00Z</dcterms:created>
  <dc:creator>Lenovo</dc:creator>
  <cp:lastModifiedBy>8   9</cp:lastModifiedBy>
  <cp:lastPrinted>2021-11-19T07:10:00Z</cp:lastPrinted>
  <dcterms:modified xsi:type="dcterms:W3CDTF">2021-11-19T08:22:15Z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AA375EEE9CAC474986491FA7B3145144</vt:lpwstr>
  </property>
  <property fmtid="{D5CDD505-2E9C-101B-9397-08002B2CF9AE}" pid="4" name="KSOSaveFontToCloudKey">
    <vt:lpwstr>15354578_btnclosed</vt:lpwstr>
  </property>
</Properties>
</file>