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default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000000"/>
          <w:sz w:val="30"/>
          <w:szCs w:val="30"/>
          <w:lang w:val="en-US"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考生入场检测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须知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符合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贵州省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疫情防控要求的考生，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经入场检测合格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后，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方可进入考点参加贵州茅台酒厂（集团）保健酒业销售有限公司2021年社会招聘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笔试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考生符合以下全部检测要求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，可进入考点参加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笔试：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考试当天本人“贵州健康码、国家通信行程卡”绿码；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经检测体温正常（低于37.3℃）；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佩戴一次性使用医用口罩；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提供相应核酸检测阴性证明纸质版（医院出具的纸质证明或电子证明的打印件均可）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考前14天内有“本土阳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性病例报告地级市”旅居史人员，须提供考前5日内间隔24小时的2次核酸检测阴性证明，其中第2次核酸检测须在考前48小时内在考点所在地级市进行。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其余考生须提供考前48小时内1次核酸检测阴性证明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考生入场检测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规定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考生入场检测须佩戴一次性使用医用口罩排队检测，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保持安全距离，不得扎堆聚集。考生入场检测通道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根据不同类别考生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分别设置特殊检测通道和常规检测通道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，并相应开展检测工作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00000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特殊检测通道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考前14天内有“本土阳性病例报告地级市”旅居史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的考生，通过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特殊检测通道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进行检测，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检测步骤如下：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向检测人员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出示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当天“贵州健康码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国家通信行程卡”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，提交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考前5日内间隔24小时的2次核酸检测纸质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报告或证明材料以及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《准考证》等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资料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并接受体温检测。经检测合格的，检测人员在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《准考证》上加盖入场检测合格章。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eastAsia="zh-CN"/>
        </w:rPr>
        <w:t>（二）常规检测通道。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考前14天内无“本土阳性病例报告地级市”旅居史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的考生，通过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常规检测通道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进行检测，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检测步骤如下：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检测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点检测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人员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出示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当天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本人“贵州健康码”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《准考证》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并接受体温检测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经检测合格，前往第二检测点。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第二检测点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检测人员出示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考试当天本人“国家通信行程卡”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，提交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考前48小时内1次核酸检测纸质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报告或证明材料以及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《准考证》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等材料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。经检测合格，检测人员在《准考证》上加盖入场检测合格章。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eastAsia="zh-CN"/>
        </w:rPr>
        <w:t>（三）临时隔离检查点。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符合其他疫情防控要求，但体温≥37.3℃的考生，须立即进入临时隔离检查点，间隔15分钟后，由现场医务人员使用水银体温计进行体温复测，经复测体温正常（低于37.3℃）的，可以参加本次考试。经复测体温仍≥37.3℃的，不得进入考点参加本次考试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三、相关要求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参加本次笔试的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严格遵守国家、省有关疫情防控规定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及有关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要求，若考前疫情防控规定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或要求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发生变化，将根据新规定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和新要求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另行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通告有关事项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。请广大考生密切关注疫情防控规定和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要求变化，做好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准备，确保顺利参加本次考试。</w:t>
      </w:r>
    </w:p>
    <w:p/>
    <w:p/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D4A16"/>
    <w:rsid w:val="47F645DC"/>
    <w:rsid w:val="6DA2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style11"/>
    <w:basedOn w:val="5"/>
    <w:uiPriority w:val="0"/>
    <w:rPr>
      <w:rFonts w:ascii="微软雅黑" w:hAnsi="微软雅黑" w:eastAsia="微软雅黑" w:cs="微软雅黑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2021-11-09T07:55:00Z</dcterms:created>
  <dc:creator>Administrator</dc:creator>
  <cp:lastModifiedBy>樱花</cp:lastModifiedBy>
  <dcterms:modified xsi:type="dcterms:W3CDTF">2021-11-22T05:12:47Z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E0705FD9BF354823AFD1E30CEC6880B3</vt:lpwstr>
  </property>
</Properties>
</file>