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left"/>
      </w:pPr>
    </w:p>
    <w:p>
      <w:pPr>
        <w:spacing w:line="579" w:lineRule="exact"/>
        <w:jc w:val="center"/>
        <w:rPr>
          <w:rFonts w:ascii="黑体" w:hAnsi="黑体" w:eastAsia="黑体" w:cs="方正小标宋简体"/>
          <w:bCs/>
          <w:sz w:val="32"/>
          <w:szCs w:val="32"/>
        </w:rPr>
      </w:pPr>
      <w:r>
        <w:rPr>
          <w:rFonts w:hint="eastAsia" w:ascii="黑体" w:hAnsi="黑体" w:eastAsia="黑体"/>
          <w:sz w:val="32"/>
          <w:szCs w:val="32"/>
        </w:rPr>
        <w:t>附件：</w:t>
      </w:r>
      <w:bookmarkStart w:id="0" w:name="_GoBack"/>
      <w:r>
        <w:rPr>
          <w:rFonts w:hint="eastAsia" w:ascii="黑体" w:hAnsi="黑体" w:eastAsia="黑体" w:cs="方正小标宋简体"/>
          <w:bCs/>
          <w:sz w:val="32"/>
          <w:szCs w:val="32"/>
        </w:rPr>
        <w:t>毕节财贸学校2021年“人才强市”暨第二批高层次</w:t>
      </w:r>
    </w:p>
    <w:p>
      <w:pPr>
        <w:spacing w:line="579" w:lineRule="exact"/>
        <w:jc w:val="center"/>
        <w:rPr>
          <w:rFonts w:ascii="黑体" w:hAnsi="黑体" w:eastAsia="黑体" w:cs="方正小标宋简体"/>
          <w:bCs/>
          <w:sz w:val="32"/>
          <w:szCs w:val="32"/>
        </w:rPr>
      </w:pPr>
      <w:r>
        <w:rPr>
          <w:rFonts w:hint="eastAsia" w:ascii="黑体" w:hAnsi="黑体" w:eastAsia="黑体" w:cs="方正小标宋简体"/>
          <w:bCs/>
          <w:sz w:val="32"/>
          <w:szCs w:val="32"/>
        </w:rPr>
        <w:t>急需紧缺人才引进面试新冠疫情防控</w:t>
      </w:r>
      <w:r>
        <w:rPr>
          <w:rFonts w:hint="eastAsia" w:ascii="黑体" w:hAnsi="黑体" w:eastAsia="黑体" w:cs="方正小标宋简体"/>
          <w:sz w:val="32"/>
          <w:szCs w:val="32"/>
        </w:rPr>
        <w:t>实施方案</w:t>
      </w:r>
    </w:p>
    <w:bookmarkEnd w:id="0"/>
    <w:p>
      <w:pPr>
        <w:adjustRightInd w:val="0"/>
        <w:snapToGrid w:val="0"/>
        <w:spacing w:line="520" w:lineRule="exact"/>
        <w:ind w:firstLine="640" w:firstLineChars="200"/>
        <w:rPr>
          <w:rFonts w:ascii="仿宋_GB2312" w:hAnsi="方正仿宋_GB2312" w:eastAsia="仿宋_GB2312" w:cs="方正仿宋_GB2312"/>
          <w:kern w:val="0"/>
          <w:sz w:val="32"/>
          <w:szCs w:val="32"/>
        </w:rPr>
      </w:pPr>
    </w:p>
    <w:p>
      <w:pPr>
        <w:adjustRightInd w:val="0"/>
        <w:snapToGrid w:val="0"/>
        <w:spacing w:line="520" w:lineRule="exact"/>
        <w:ind w:firstLine="640" w:firstLineChars="200"/>
        <w:rPr>
          <w:rFonts w:ascii="仿宋_GB2312" w:hAnsi="方正仿宋_GB2312" w:eastAsia="仿宋_GB2312" w:cs="方正仿宋_GB2312"/>
          <w:kern w:val="0"/>
          <w:sz w:val="32"/>
          <w:szCs w:val="32"/>
        </w:rPr>
      </w:pPr>
      <w:r>
        <w:rPr>
          <w:rFonts w:hint="eastAsia" w:ascii="仿宋_GB2312" w:hAnsi="方正仿宋_GB2312" w:eastAsia="仿宋_GB2312" w:cs="方正仿宋_GB2312"/>
          <w:kern w:val="0"/>
          <w:sz w:val="32"/>
          <w:szCs w:val="32"/>
        </w:rPr>
        <w:t>我单位拟于2021年12月11日开展毕节市财贸学校2021年“人才强市”暨第二批高层次急需紧缺人才引进面试工作，为做好毕节市财贸学校2021年“人才强市”暨第二批高层次急需紧缺人才引进面试新冠肺炎疫情防控工作，根据国务院、省、市应对新冠肺炎疫情防控领导小组近期发布的新冠肺炎疫情防控工作有关要求，确保面试工作期间疫情防控责任压实到人、措施落实到位，特制定本方案。</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一、基本要求</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决贯彻执行党中央国务院决策部署和省委省政府、市委市政府工作要求，切实落实好常态化疫情防控工作，在抓紧抓实抓细常态化疫情防控各项工作同时，认真组织好面试工作期间疫情防控工作，如遇疫情防控突发紧急情况，面试工作根据实际情况予以延期。</w:t>
      </w:r>
    </w:p>
    <w:p>
      <w:pPr>
        <w:adjustRightInd w:val="0"/>
        <w:snapToGrid w:val="0"/>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二、工作措施</w:t>
      </w:r>
    </w:p>
    <w:p>
      <w:pPr>
        <w:pStyle w:val="11"/>
        <w:adjustRightInd w:val="0"/>
        <w:snapToGrid w:val="0"/>
        <w:spacing w:before="0"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谁组织、谁负责、谁举办、谁负责”的原则，严格落实考生、考务工作人员健康管理主体责任，安全有序组织好会议。参加面试的考生51人、考务工作人员30人，合计81人。对考生、考务工作人员开展健康监测等工作，做到应查尽查、不漏一人。健康筛查不合格者不得参加面试和考务工作。</w:t>
      </w:r>
    </w:p>
    <w:p>
      <w:pPr>
        <w:adjustRightInd w:val="0"/>
        <w:snapToGrid w:val="0"/>
        <w:spacing w:line="54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（一）面试工作前疫情防控要求</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1.不能参加面试人员和参加考务工作人员</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（1）面试前28天内中、高风险地区返回人员、境外返回人员。</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2）面试前14天内有本土阳性感染者报告市（州）低风险地区返回人员原则上不能参加面试，确须参加的，面试当日须有“三天两检”（返回人员需持48小时内有效新冠病毒核酸检测阴性证明及抵毕后在交通接驳点或隔离点的1次核酸检测阴性证明；未持有相关证明的在抵毕后要立即在交通接驳点或隔离点开展1次核酸检测，结果未出前不得流动，阴性后点对点返回居住地，不得乘坐公共交通；间隔24小时后到就近采样点进行检测核酸，除前往采样点外不能外出，前往采样点途中做好个人防护、不得乘坐公共交通，第二次核酸阴性后方可有序流动。）核酸检测阴性证明。此要求仅针对考生，有本土阳性感染者报告市（州）低风险地区旅居史人员不能参加面试。</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（3）仍处于康复或隔离期的确诊病例、无症状感染者。</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（4）仍处于医学隔离期或观察期的密切接触者和次密切接触者。</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（5）与阳性感染者同乘交通工具或活动轨迹有交集的人员</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（6）自接到通知起，如有出现体温高于37.3℃、乏力、咳嗽、腹泻、呕吐、嗅觉或味觉减退等症状，未排除传染病的人员。</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2.面试前健康监测</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所有参加面试人员、考务工作人员自接到面试工作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3.流行病学史排查</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1）所有参加面试人员及工作人员在报到前，须完成“三史”（即旅居史、接触史、发热史）的申报，如实填写《个人防疫情况申报表》（见附件），《个人防疫情况申报表》须在报到时全部审核完毕，审核不合格人员原则上不再参加面试及考务工作。</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2）所有参加面试人员及工作人员进入考场前，须进行“贵州健康码”、“通信大数据行程卡”和“疫苗接种标识”（以下简称“三码”）扫码核验及体温检测，扫码合格、体温低于37.3℃者及《个人防疫情况申报合格者》方能进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4.核酸检测</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1）按照《关于进一步加强新冠肺炎疫情防控工作的通知》（黔府办发电〔2021〕163号）要求，本次面试活动需安排集体用餐和住宿，参加面试活动的所有人员均须提供报到前48小时内核酸检测阴性证明。核酸采样后，所有人员均要做好个人防护、不得乘坐公共交通工具，避免与无关人员接触。</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2）参加面试人员和考务工作人员前14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面试现场。</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（3）面试前14天内有省外无本土病例报告市（州）旅居史的来（返）毕人员，须持有48小时内核酸检测阴性证明。</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5.面试前疫苗接种</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（1）所有参加面试人员、考务工作人员等，符合接种条件的须在面试前进行新冠病毒疫苗全程接种，落实“应接尽接”，尚未完成接种的适龄无禁忌症人员，原则上不安排参加面试及考务工作。</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（2）确有禁忌症未接种人员须提供新冠病毒疫苗接种禁忌症评估定点医院出具的加盖医院公章或医院授权的科室诊断书专用章的《新冠病毒疫苗接种禁忌症评估表》。</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6.日常防护措施</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所有参加面试考生及工作人员乘坐公共交通工具前往会场途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spacing w:line="560" w:lineRule="exact"/>
        <w:ind w:left="-142"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三、考生管理</w:t>
      </w:r>
    </w:p>
    <w:p>
      <w:pPr>
        <w:adjustRightInd w:val="0"/>
        <w:snapToGrid w:val="0"/>
        <w:spacing w:line="520" w:lineRule="exact"/>
        <w:ind w:firstLine="800" w:firstLineChars="25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（一）所有考生应根据当前防控要求做好相应准备，确保笔试（含资格确认、面试、体检，下同）当天能顺利参加，因不符合防控要求不能参加面试的考生自行承担后果。</w:t>
      </w:r>
    </w:p>
    <w:p>
      <w:pPr>
        <w:adjustRightInd w:val="0"/>
        <w:snapToGrid w:val="0"/>
        <w:spacing w:line="520" w:lineRule="exact"/>
        <w:ind w:firstLine="800" w:firstLineChars="25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（二）考生在</w:t>
      </w:r>
      <w:r>
        <w:rPr>
          <w:rFonts w:hint="default" w:ascii="仿宋_GB2312" w:hAnsi="楷体_GB2312" w:eastAsia="仿宋_GB2312" w:cs="楷体_GB2312"/>
          <w:color w:val="000000"/>
          <w:kern w:val="0"/>
          <w:sz w:val="32"/>
          <w:szCs w:val="32"/>
          <w:lang w:val="en-US"/>
        </w:rPr>
        <w:t>11号</w:t>
      </w:r>
      <w:r>
        <w:rPr>
          <w:rFonts w:hint="eastAsia" w:ascii="仿宋_GB2312" w:hAnsi="楷体_GB2312" w:eastAsia="仿宋_GB2312" w:cs="楷体_GB2312"/>
          <w:color w:val="000000"/>
          <w:kern w:val="0"/>
          <w:sz w:val="32"/>
          <w:szCs w:val="32"/>
        </w:rPr>
        <w:t>当日上午8:00开始接受检测进入考点，8:00起凭《面试准考证》、第二代有效《居民身份证》原件进入候考室，8:30仍未到达指定考室的面试人员视为自动弃权，责任自负。考生应尽早到达考点，在考点入场检测处，要提前调出当天本人“三码”，做好入场扫码和体温检测准备，确保入场时间充足、秩序良好。</w:t>
      </w:r>
    </w:p>
    <w:p>
      <w:pPr>
        <w:adjustRightInd w:val="0"/>
        <w:snapToGrid w:val="0"/>
        <w:spacing w:line="520" w:lineRule="exact"/>
        <w:ind w:firstLine="800" w:firstLineChars="25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（三）面试结束，考生要按指令有序离场，不得拥挤扎堆，保持适当安全距离。废弃口罩应自行带走或扔到指定垃圾桶，不得随意丢弃。</w:t>
      </w:r>
    </w:p>
    <w:p>
      <w:pPr>
        <w:adjustRightInd w:val="0"/>
        <w:snapToGrid w:val="0"/>
        <w:spacing w:line="520" w:lineRule="exact"/>
        <w:ind w:firstLine="800" w:firstLineChars="25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（四）考生须严格遵守贵州省新冠肺炎常态化防控相关要求，因不遵守疫情防控规定造成的一切后果由考生自负。</w:t>
      </w:r>
    </w:p>
    <w:p>
      <w:pPr>
        <w:spacing w:line="560" w:lineRule="exact"/>
        <w:ind w:left="-142"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四、应急管理</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（一）入场监测时有关情况处置</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面试当天考点入场检测处报到时，考生或工作人员“三码”扫码不合格的，禁止进入考点，由现场工作人员安排在就近隔离检查点隔离，并立即报卫生健康部门按要求处理。涉及为工作人员的及时予以替换，涉及为考生的，须考生本人签字确认，视为放弃面试资格。考生拒绝签字的，须由现场2名以上处置人员共同签字确认。</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面试当天考点入场检测处报到时，考生或工作人员“三码”扫码合格，但因体温异常等可疑症状的，由现场工作人员进行评估并处置。经现场工作人员评估不能参加面试的，涉及为工作人员的及时予以替换，涉及为考生的，须考生本人签字确认，视为放弃面试资格。考生不认可现场工作人员评估，由现场2名工作人员陪同到就近医院进行评估，评估为不能参加面试，考生仍拒绝签字的，由现场2名以上处置人员共同签字确认。</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（二）面试过程中有关情况处理</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或工作人员经检测进入考点后，出现发热、咳嗽等症状的，应迅速安排到临时隔离点由相关医务人员进行评估并处置，涉及工作人员的及时予以替换。涉及考生的，经相关医务人员评估不能参加面试的，须考生本人签字确认，视为放弃面试资格，考生拒绝签字的，须由现场2名以上处置人员共同签字确认；经相关医务人员评估可以继续面试的，应安排在备用候考室等待面试安排。</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（三）其他紧急情况处置</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1.考点考场出现经相关医务人员评估后被终止面试或移至备用隔离考场面试的考生，现场工作人员要根据实际情况对现场其它考生做好解释工作。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2.考点考场出现经相关医务人员评估后被终止面试或移至备用隔离考场面试的考生，协助卫生健康部门须按防疫要求做好相关人员的追踪管理。</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3.如出现考生或工作人员被诊断为确诊或疑似病例的，协助卫生健康部门按相关疫情防控处置要求做好人员排查、环境消毒等疫情防控工作。</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、工作保障</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（一）加强组织领导</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为有效防控新型冠状病毒传播，保障新冠疫情期间工作顺利进行，成立</w:t>
      </w:r>
      <w:r>
        <w:rPr>
          <w:rFonts w:hint="eastAsia" w:eastAsia="仿宋_GB2312"/>
          <w:sz w:val="32"/>
          <w:szCs w:val="32"/>
        </w:rPr>
        <w:t>毕节市财贸学校</w:t>
      </w:r>
      <w:r>
        <w:rPr>
          <w:rFonts w:hint="eastAsia" w:ascii="Times New Roman" w:hAnsi="Times New Roman" w:eastAsia="仿宋_GB2312"/>
          <w:color w:val="000000"/>
          <w:sz w:val="32"/>
          <w:szCs w:val="32"/>
        </w:rPr>
        <w:t>人才引进面试工作疫情防控</w:t>
      </w:r>
      <w:r>
        <w:rPr>
          <w:rFonts w:hint="eastAsia" w:ascii="Times New Roman" w:hAnsi="Times New Roman" w:eastAsia="仿宋_GB2312" w:cs="Times New Roman"/>
          <w:sz w:val="32"/>
          <w:szCs w:val="32"/>
        </w:rPr>
        <w:t>领导小组。</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领导小组下设办公室在</w:t>
      </w:r>
      <w:r>
        <w:rPr>
          <w:rFonts w:hint="eastAsia" w:ascii="仿宋_GB2312" w:hAnsi="Calibri" w:eastAsia="仿宋_GB2312" w:cs="仿宋_GB2312"/>
          <w:sz w:val="32"/>
          <w:szCs w:val="32"/>
        </w:rPr>
        <w:t>保卫科</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由保卫科</w:t>
      </w:r>
      <w:r>
        <w:rPr>
          <w:rFonts w:hint="eastAsia" w:ascii="Times New Roman" w:hAnsi="Times New Roman" w:eastAsia="仿宋_GB2312" w:cs="Times New Roman"/>
          <w:sz w:val="32"/>
          <w:szCs w:val="32"/>
        </w:rPr>
        <w:t>负责面试期间的疫情防控工作。</w:t>
      </w:r>
    </w:p>
    <w:p>
      <w:pPr>
        <w:pStyle w:val="11"/>
        <w:adjustRightInd w:val="0"/>
        <w:snapToGrid w:val="0"/>
        <w:spacing w:line="520" w:lineRule="exact"/>
        <w:ind w:firstLine="640" w:firstLineChars="200"/>
        <w:rPr>
          <w:rFonts w:ascii="Times New Roman" w:hAnsi="Times New Roman" w:eastAsia="楷体_GB2312"/>
          <w:color w:val="000000"/>
          <w:kern w:val="0"/>
          <w:sz w:val="32"/>
          <w:szCs w:val="32"/>
        </w:rPr>
      </w:pPr>
      <w:r>
        <w:rPr>
          <w:rFonts w:hint="eastAsia" w:ascii="Times New Roman" w:hAnsi="Times New Roman" w:eastAsia="楷体_GB2312"/>
          <w:color w:val="000000"/>
          <w:kern w:val="0"/>
          <w:sz w:val="32"/>
          <w:szCs w:val="32"/>
        </w:rPr>
        <w:t>（二）抓好防控责任落实</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1.开展培训。根据防控工作的需要，对参加考务的工作人员进行针对性培训，确保人人知晓防控知识，掌握防控技能，熟悉处置流程等。</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2.做好物资保障。提前储备好疫情防控所需防护用品、消毒用品、洗涤用品、口罩、测温仪等物资，确保考务工作正常开展。</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3.做好考生服务。做好考生防控答疑服务，及时科学准确给予考生防控有关问题解答。</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4.落实沟通协调。落实疫情防控各项工作措施，做好考场突发事件的应急处置工作，保障考务工作安全、平稳、有序进行。</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5.严格落实核酸检测、全程疫苗接种、测温扫码、全程佩戴口罩、培训现场通风消毒和参加培训人员消毒等措施。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六、其他事项</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本《方案》由</w:t>
      </w:r>
      <w:r>
        <w:rPr>
          <w:rFonts w:hint="eastAsia" w:eastAsia="仿宋_GB2312"/>
          <w:sz w:val="32"/>
          <w:szCs w:val="32"/>
        </w:rPr>
        <w:t>毕节市财贸学校</w:t>
      </w:r>
      <w:r>
        <w:rPr>
          <w:rFonts w:hint="eastAsia" w:ascii="Times New Roman" w:hAnsi="Times New Roman" w:eastAsia="仿宋_GB2312"/>
          <w:color w:val="000000"/>
          <w:sz w:val="32"/>
          <w:szCs w:val="32"/>
        </w:rPr>
        <w:t>人才引进面试工作</w:t>
      </w:r>
      <w:r>
        <w:rPr>
          <w:rFonts w:hint="eastAsia" w:ascii="Times New Roman" w:hAnsi="Times New Roman" w:eastAsia="仿宋_GB2312" w:cs="Times New Roman"/>
          <w:sz w:val="32"/>
          <w:szCs w:val="32"/>
        </w:rPr>
        <w:t>疫情防控领导小组负责解释，未尽事宜由</w:t>
      </w:r>
      <w:r>
        <w:rPr>
          <w:rFonts w:hint="eastAsia" w:eastAsia="仿宋_GB2312"/>
          <w:sz w:val="32"/>
          <w:szCs w:val="32"/>
        </w:rPr>
        <w:t>毕节市财贸学校</w:t>
      </w:r>
      <w:r>
        <w:rPr>
          <w:rFonts w:hint="eastAsia" w:ascii="Times New Roman" w:hAnsi="Times New Roman" w:eastAsia="仿宋_GB2312"/>
          <w:color w:val="000000"/>
          <w:sz w:val="32"/>
          <w:szCs w:val="32"/>
        </w:rPr>
        <w:t>人才引进面试工作</w:t>
      </w:r>
      <w:r>
        <w:rPr>
          <w:rFonts w:hint="eastAsia" w:ascii="Times New Roman" w:hAnsi="Times New Roman" w:eastAsia="仿宋_GB2312" w:cs="Times New Roman"/>
          <w:sz w:val="32"/>
          <w:szCs w:val="32"/>
        </w:rPr>
        <w:t>疫情防控领导小组负责完善落实。</w:t>
      </w:r>
    </w:p>
    <w:p>
      <w:pPr>
        <w:adjustRightInd w:val="0"/>
        <w:snapToGrid w:val="0"/>
        <w:spacing w:line="52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pStyle w:val="11"/>
        <w:spacing w:before="0" w:after="0" w:line="520" w:lineRule="exact"/>
        <w:rPr>
          <w:rFonts w:ascii="仿宋_GB2312" w:hAnsi="仿宋_GB2312" w:eastAsia="仿宋_GB2312" w:cs="仿宋_GB2312"/>
          <w:sz w:val="32"/>
          <w:szCs w:val="32"/>
        </w:rPr>
      </w:pPr>
    </w:p>
    <w:p>
      <w:pPr>
        <w:pStyle w:val="11"/>
        <w:spacing w:before="0" w:after="0" w:line="520" w:lineRule="exact"/>
        <w:rPr>
          <w:rFonts w:ascii="仿宋_GB2312" w:hAnsi="仿宋_GB2312" w:eastAsia="仿宋_GB2312" w:cs="仿宋_GB2312"/>
          <w:sz w:val="32"/>
          <w:szCs w:val="32"/>
        </w:rPr>
      </w:pPr>
    </w:p>
    <w:p>
      <w:pPr>
        <w:pStyle w:val="11"/>
        <w:spacing w:before="0" w:after="0" w:line="520" w:lineRule="exact"/>
        <w:rPr>
          <w:rFonts w:ascii="仿宋_GB2312" w:hAnsi="仿宋_GB2312" w:eastAsia="仿宋_GB2312" w:cs="仿宋_GB2312"/>
          <w:sz w:val="32"/>
          <w:szCs w:val="32"/>
        </w:rPr>
      </w:pPr>
    </w:p>
    <w:p>
      <w:pPr>
        <w:pStyle w:val="11"/>
        <w:spacing w:before="0" w:after="0" w:line="520" w:lineRule="exact"/>
        <w:rPr>
          <w:rFonts w:ascii="仿宋_GB2312" w:hAnsi="仿宋_GB2312" w:eastAsia="仿宋_GB2312" w:cs="仿宋_GB2312"/>
          <w:sz w:val="32"/>
          <w:szCs w:val="32"/>
        </w:rPr>
      </w:pPr>
    </w:p>
    <w:p>
      <w:pPr>
        <w:spacing w:line="520" w:lineRule="exact"/>
        <w:ind w:firstLine="5385" w:firstLineChars="1683"/>
        <w:rPr>
          <w:rFonts w:ascii="仿宋_GB2312" w:hAnsi="仿宋_GB2312" w:eastAsia="仿宋_GB2312" w:cs="仿宋_GB2312"/>
          <w:sz w:val="32"/>
          <w:szCs w:val="32"/>
        </w:rPr>
      </w:pPr>
      <w:r>
        <w:rPr>
          <w:rFonts w:hint="eastAsia" w:ascii="仿宋_GB2312" w:hAnsi="仿宋_GB2312" w:eastAsia="仿宋_GB2312" w:cs="仿宋_GB2312"/>
          <w:sz w:val="32"/>
          <w:szCs w:val="32"/>
        </w:rPr>
        <w:t>毕节市财贸学校</w:t>
      </w:r>
    </w:p>
    <w:p>
      <w:pPr>
        <w:spacing w:line="520" w:lineRule="exact"/>
        <w:ind w:firstLine="5244" w:firstLineChars="1639"/>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pStyle w:val="12"/>
        <w:spacing w:line="560" w:lineRule="exact"/>
        <w:ind w:firstLine="0" w:firstLineChars="0"/>
        <w:rPr>
          <w:rFonts w:eastAsia="黑体"/>
          <w:color w:val="000000"/>
          <w:sz w:val="32"/>
          <w:szCs w:val="32"/>
        </w:rPr>
      </w:pPr>
    </w:p>
    <w:p>
      <w:pPr>
        <w:pStyle w:val="12"/>
        <w:ind w:firstLine="0" w:firstLineChars="0"/>
        <w:rPr>
          <w:rFonts w:eastAsia="黑体"/>
          <w:color w:val="000000"/>
          <w:sz w:val="32"/>
          <w:szCs w:val="32"/>
        </w:rPr>
        <w:sectPr>
          <w:footerReference r:id="rId3" w:type="default"/>
          <w:footerReference r:id="rId4" w:type="even"/>
          <w:pgSz w:w="11906" w:h="16838"/>
          <w:pgMar w:top="1440" w:right="1474" w:bottom="1440" w:left="1644" w:header="851" w:footer="992" w:gutter="0"/>
          <w:pgNumType w:start="1"/>
          <w:cols w:space="425" w:num="1"/>
          <w:docGrid w:linePitch="312" w:charSpace="0"/>
        </w:sectPr>
      </w:pPr>
    </w:p>
    <w:p>
      <w:pPr>
        <w:pStyle w:val="12"/>
        <w:ind w:firstLine="0" w:firstLineChars="0"/>
        <w:rPr>
          <w:rFonts w:eastAsia="黑体"/>
          <w:color w:val="000000"/>
          <w:sz w:val="32"/>
          <w:szCs w:val="32"/>
        </w:rPr>
      </w:pPr>
      <w:r>
        <w:rPr>
          <w:rFonts w:eastAsia="黑体"/>
          <w:color w:val="000000"/>
          <w:sz w:val="32"/>
          <w:szCs w:val="32"/>
        </w:rPr>
        <w:t>附件</w:t>
      </w:r>
    </w:p>
    <w:p>
      <w:pPr>
        <w:pStyle w:val="12"/>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6"/>
        <w:tblW w:w="5214" w:type="pct"/>
        <w:jc w:val="center"/>
        <w:tblLayout w:type="autofit"/>
        <w:tblCellMar>
          <w:top w:w="0" w:type="dxa"/>
          <w:left w:w="0" w:type="dxa"/>
          <w:bottom w:w="0" w:type="dxa"/>
          <w:right w:w="0" w:type="dxa"/>
        </w:tblCellMar>
      </w:tblPr>
      <w:tblGrid>
        <w:gridCol w:w="1420"/>
        <w:gridCol w:w="1847"/>
        <w:gridCol w:w="1173"/>
        <w:gridCol w:w="2774"/>
        <w:gridCol w:w="930"/>
        <w:gridCol w:w="992"/>
      </w:tblGrid>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姓  名</w:t>
            </w:r>
          </w:p>
        </w:tc>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性  别</w:t>
            </w:r>
          </w:p>
        </w:tc>
        <w:tc>
          <w:tcPr>
            <w:tcW w:w="15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年  龄</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身份证号</w:t>
            </w:r>
          </w:p>
        </w:tc>
        <w:tc>
          <w:tcPr>
            <w:tcW w:w="165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15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手机号码</w:t>
            </w:r>
          </w:p>
        </w:tc>
        <w:tc>
          <w:tcPr>
            <w:tcW w:w="105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工作单位</w:t>
            </w:r>
          </w:p>
        </w:tc>
        <w:tc>
          <w:tcPr>
            <w:tcW w:w="4222"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b/>
                <w:bCs/>
                <w:sz w:val="22"/>
              </w:rPr>
            </w:pPr>
            <w:r>
              <w:rPr>
                <w:rFonts w:hint="eastAsia" w:ascii="黑体" w:hAnsi="黑体" w:eastAsia="黑体" w:cs="黑体"/>
                <w:kern w:val="0"/>
                <w:sz w:val="24"/>
              </w:rPr>
              <w:t>活动前旅居史、健康史及接触史情况</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right w:val="single" w:color="auto" w:sz="4" w:space="0"/>
            </w:tcBorders>
            <w:tcMar>
              <w:top w:w="15" w:type="dxa"/>
              <w:left w:w="15" w:type="dxa"/>
              <w:right w:w="15" w:type="dxa"/>
            </w:tcMar>
            <w:vAlign w:val="center"/>
          </w:tcPr>
          <w:p>
            <w:pPr>
              <w:adjustRightInd w:val="0"/>
              <w:snapToGrid w:val="0"/>
              <w:spacing w:line="440" w:lineRule="exact"/>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509" w:type="pct"/>
            <w:tcBorders>
              <w:top w:val="single" w:color="000000" w:sz="4" w:space="0"/>
              <w:left w:val="single" w:color="auto" w:sz="4" w:space="0"/>
              <w:right w:val="single" w:color="auto" w:sz="4" w:space="0"/>
            </w:tcBorders>
            <w:vAlign w:val="center"/>
          </w:tcPr>
          <w:p>
            <w:pPr>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auto" w:sz="4" w:space="0"/>
              <w:right w:val="single" w:color="000000" w:sz="4" w:space="0"/>
            </w:tcBorders>
            <w:vAlign w:val="center"/>
          </w:tcPr>
          <w:p>
            <w:pPr>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是否有中、高风险地区旅居史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活动前14天是否有本土阳性感染者报告市（州）旅居史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活动前14天是否有省外无本土病例报告市（州）旅居史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是否为仍处于康复或隔离期的新冠肺炎确诊病例或无症状感染者</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是否为仍处于医学隔离期的密切接触者或次密切接触者</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是否与阳性感染者同乘交通工具或活动轨迹有交集</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是否与来自高、中风险疫情地区人员有密切接触</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密切接触的家属及同事是否有中高风险地区、港台及国外旅居史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是否接种新冠肺炎疫苗，未全程接种的请在空白处备注原因</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adjustRightInd w:val="0"/>
              <w:snapToGrid w:val="0"/>
              <w:spacing w:line="440" w:lineRule="exact"/>
              <w:textAlignment w:val="top"/>
              <w:rPr>
                <w:rFonts w:ascii="黑体" w:hAnsi="黑体" w:eastAsia="黑体" w:cs="黑体"/>
                <w:kern w:val="0"/>
                <w:sz w:val="24"/>
                <w:szCs w:val="28"/>
              </w:rPr>
            </w:pPr>
            <w:r>
              <w:rPr>
                <w:rFonts w:hint="eastAsia" w:ascii="黑体" w:hAnsi="黑体" w:eastAsia="黑体" w:cs="黑体"/>
                <w:kern w:val="0"/>
                <w:sz w:val="24"/>
                <w:szCs w:val="28"/>
              </w:rPr>
              <w:t>本人活动前14天健康状况：健康 口 发热 口 乏力 口 咽痛 口 咳嗽 口 腹泻 口</w:t>
            </w:r>
          </w:p>
        </w:tc>
      </w:tr>
      <w:tr>
        <w:tblPrEx>
          <w:tblCellMar>
            <w:top w:w="0" w:type="dxa"/>
            <w:left w:w="0" w:type="dxa"/>
            <w:bottom w:w="0" w:type="dxa"/>
            <w:right w:w="0" w:type="dxa"/>
          </w:tblCellMar>
        </w:tblPrEx>
        <w:trPr>
          <w:trHeight w:val="97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adjustRightInd w:val="0"/>
              <w:snapToGrid w:val="0"/>
              <w:spacing w:line="560" w:lineRule="exact"/>
              <w:jc w:val="left"/>
              <w:textAlignment w:val="top"/>
              <w:rPr>
                <w:rFonts w:ascii="黑体" w:hAnsi="黑体" w:eastAsia="黑体" w:cs="黑体"/>
                <w:sz w:val="24"/>
                <w:szCs w:val="32"/>
              </w:rPr>
            </w:pPr>
            <w:r>
              <w:rPr>
                <w:rFonts w:hint="eastAsia" w:ascii="黑体" w:hAnsi="黑体" w:eastAsia="黑体" w:cs="黑体"/>
                <w:sz w:val="24"/>
                <w:szCs w:val="32"/>
              </w:rPr>
              <w:t>其它需要说明的情况：</w:t>
            </w:r>
          </w:p>
        </w:tc>
      </w:tr>
      <w:tr>
        <w:tblPrEx>
          <w:tblCellMar>
            <w:top w:w="0" w:type="dxa"/>
            <w:left w:w="0" w:type="dxa"/>
            <w:bottom w:w="0" w:type="dxa"/>
            <w:right w:w="0" w:type="dxa"/>
          </w:tblCellMar>
        </w:tblPrEx>
        <w:trPr>
          <w:trHeight w:val="167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p>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pStyle w:val="12"/>
        <w:ind w:firstLine="0" w:firstLineChars="0"/>
      </w:pPr>
    </w:p>
    <w:sectPr>
      <w:footerReference r:id="rId5" w:type="even"/>
      <w:pgSz w:w="11906" w:h="16838"/>
      <w:pgMar w:top="2098" w:right="1474" w:bottom="1985" w:left="1588" w:header="851" w:footer="992" w:gutter="1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21BAC3-6F68-4F4C-8F44-2EEB033C66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37B257-3270-4744-8391-DE3F5E6EA55B}"/>
  </w:font>
  <w:font w:name="仿宋_GB2312">
    <w:panose1 w:val="02010609030101010101"/>
    <w:charset w:val="86"/>
    <w:family w:val="modern"/>
    <w:pitch w:val="default"/>
    <w:sig w:usb0="00000001" w:usb1="080E0000" w:usb2="00000000" w:usb3="00000000" w:csb0="00040000" w:csb1="00000000"/>
    <w:embedRegular r:id="rId3" w:fontKey="{5383EF06-A965-4F96-8BC4-D47E84117EA6}"/>
  </w:font>
  <w:font w:name="方正小标宋简体">
    <w:panose1 w:val="02010601030101010101"/>
    <w:charset w:val="86"/>
    <w:family w:val="auto"/>
    <w:pitch w:val="default"/>
    <w:sig w:usb0="00000001" w:usb1="080E0000" w:usb2="00000000" w:usb3="00000000" w:csb0="00040000" w:csb1="00000000"/>
    <w:embedRegular r:id="rId4" w:fontKey="{0DCC1BF9-4C57-4AAD-8D8F-9BC1C14D01E8}"/>
  </w:font>
  <w:font w:name="Helvetica">
    <w:altName w:val="Arial"/>
    <w:panose1 w:val="020B0504020000020204"/>
    <w:charset w:val="00"/>
    <w:family w:val="swiss"/>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5" w:fontKey="{AC0F1A36-6305-4A83-9F71-2420A41D73DB}"/>
  </w:font>
  <w:font w:name="楷体_GB2312">
    <w:altName w:val="楷体"/>
    <w:panose1 w:val="02010609030000010101"/>
    <w:charset w:val="86"/>
    <w:family w:val="modern"/>
    <w:pitch w:val="default"/>
    <w:sig w:usb0="00000000" w:usb1="00000000" w:usb2="00000010" w:usb3="00000000" w:csb0="00040000" w:csb1="00000000"/>
    <w:embedRegular r:id="rId6" w:fontKey="{704C333E-C3EE-4B09-BCB8-01325688E3F6}"/>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7" w:fontKey="{66D7F630-4A25-4193-BA1D-1C8B1FF059A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6</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14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D5BF1"/>
    <w:rsid w:val="211C1A82"/>
    <w:rsid w:val="26813650"/>
    <w:rsid w:val="35E55944"/>
    <w:rsid w:val="3C3A521C"/>
    <w:rsid w:val="4CD0546E"/>
    <w:rsid w:val="633C39DB"/>
    <w:rsid w:val="7D20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PwC Normal"/>
    <w:basedOn w:val="1"/>
    <w:qFormat/>
    <w:uiPriority w:val="0"/>
    <w:pPr>
      <w:spacing w:before="180" w:after="180" w:line="240" w:lineRule="atLeast"/>
    </w:pPr>
    <w:rPr>
      <w:rFonts w:ascii="Calibri" w:hAnsi="Calibri" w:eastAsia="宋体" w:cs="Times New Roman"/>
      <w:szCs w:val="24"/>
    </w:rPr>
  </w:style>
  <w:style w:type="paragraph" w:customStyle="1" w:styleId="12">
    <w:name w:val="Body Text Indent1"/>
    <w:basedOn w:val="1"/>
    <w:next w:val="1"/>
    <w:qFormat/>
    <w:uiPriority w:val="0"/>
    <w:pPr>
      <w:ind w:firstLine="420" w:firstLineChars="140"/>
    </w:pPr>
    <w:rPr>
      <w:szCs w:val="21"/>
    </w:rPr>
  </w:style>
  <w:style w:type="character" w:customStyle="1" w:styleId="13">
    <w:name w:val="批注框文本 Char"/>
    <w:basedOn w:val="7"/>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6541</Words>
  <Characters>6751</Characters>
  <Paragraphs>237</Paragraphs>
  <TotalTime>2</TotalTime>
  <ScaleCrop>false</ScaleCrop>
  <LinksUpToDate>false</LinksUpToDate>
  <CharactersWithSpaces>6868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2021-11-15T15:23:00Z</dcterms:created>
  <dc:creator>Windows 用户</dc:creator>
  <cp:lastModifiedBy>8   9</cp:lastModifiedBy>
  <cp:lastPrinted>2021-11-25T13:52:00Z</cp:lastPrinted>
  <dcterms:modified xsi:type="dcterms:W3CDTF">2021-11-26T08:50:19Z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2316BD3A21EF4CEC8BE1AE92701FB1AE</vt:lpwstr>
  </property>
  <property fmtid="{D5CDD505-2E9C-101B-9397-08002B2CF9AE}" pid="3" name="KSOProductBuildVer">
    <vt:lpwstr>2052-11.1.0.11115</vt:lpwstr>
  </property>
</Properties>
</file>